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C00C" w14:textId="77777777" w:rsidR="00743B4B" w:rsidRPr="00D06DE4" w:rsidRDefault="00743B4B" w:rsidP="00743B4B">
      <w:pPr>
        <w:pStyle w:val="RuleTitleHeadings"/>
        <w:rPr>
          <w:rFonts w:ascii="Bookman Old Style" w:hAnsi="Bookman Old Style"/>
          <w:sz w:val="22"/>
          <w:szCs w:val="22"/>
        </w:rPr>
      </w:pPr>
      <w:bookmarkStart w:id="0" w:name="_Toc372532346"/>
      <w:bookmarkStart w:id="1" w:name="_Toc37252140"/>
      <w:r w:rsidRPr="00D06DE4">
        <w:rPr>
          <w:rFonts w:ascii="Bookman Old Style" w:hAnsi="Bookman Old Style"/>
          <w:sz w:val="22"/>
          <w:szCs w:val="22"/>
        </w:rPr>
        <w:t>RULE 2.516.</w:t>
      </w:r>
      <w:r w:rsidRPr="00D06DE4">
        <w:rPr>
          <w:rFonts w:ascii="Bookman Old Style" w:hAnsi="Bookman Old Style"/>
          <w:sz w:val="22"/>
          <w:szCs w:val="22"/>
        </w:rPr>
        <w:tab/>
        <w:t>SERVICE OF PLEADINGS AND DOCUMENTS</w:t>
      </w:r>
      <w:bookmarkEnd w:id="0"/>
      <w:bookmarkEnd w:id="1"/>
    </w:p>
    <w:p w14:paraId="6B074C32" w14:textId="188FABA5"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(a)</w:t>
      </w:r>
      <w:r w:rsidRPr="00D06DE4">
        <w:rPr>
          <w:rStyle w:val="Bold"/>
          <w:rFonts w:ascii="Bookman Old Style" w:hAnsi="Bookman Old Style"/>
          <w:sz w:val="22"/>
        </w:rPr>
        <w:tab/>
      </w:r>
      <w:proofErr w:type="gramStart"/>
      <w:r w:rsidRPr="00D06DE4">
        <w:rPr>
          <w:rStyle w:val="Bold"/>
          <w:rFonts w:ascii="Bookman Old Style" w:hAnsi="Bookman Old Style"/>
          <w:sz w:val="22"/>
        </w:rPr>
        <w:t>Service;</w:t>
      </w:r>
      <w:proofErr w:type="gramEnd"/>
      <w:r w:rsidRPr="00D06DE4">
        <w:rPr>
          <w:rStyle w:val="Bold"/>
          <w:rFonts w:ascii="Bookman Old Style" w:hAnsi="Bookman Old Style"/>
          <w:sz w:val="22"/>
        </w:rPr>
        <w:t xml:space="preserve"> When Required. </w:t>
      </w:r>
      <w:r w:rsidRPr="00D06DE4">
        <w:rPr>
          <w:rStyle w:val="Normal1"/>
          <w:rFonts w:ascii="Bookman Old Style" w:hAnsi="Bookman Old Style"/>
          <w:sz w:val="22"/>
        </w:rPr>
        <w:t xml:space="preserve">Unless the court otherwise orders, or a statute or supreme court administrative order specifies a different means of service, every pleading </w:t>
      </w:r>
      <w:proofErr w:type="gramStart"/>
      <w:r w:rsidRPr="00D06DE4">
        <w:rPr>
          <w:rStyle w:val="Normal1"/>
          <w:rFonts w:ascii="Bookman Old Style" w:hAnsi="Bookman Old Style"/>
          <w:sz w:val="22"/>
        </w:rPr>
        <w:t>subsequent to</w:t>
      </w:r>
      <w:proofErr w:type="gramEnd"/>
      <w:r w:rsidRPr="00D06DE4">
        <w:rPr>
          <w:rStyle w:val="Normal1"/>
          <w:rFonts w:ascii="Bookman Old Style" w:hAnsi="Bookman Old Style"/>
          <w:sz w:val="22"/>
        </w:rPr>
        <w:t xml:space="preserve"> the initial pleading and every other document filed in any court proceeding, except applications for witness subpoenas and documents served by formal notice or required to be served in the manner provided for service of formal notice, must be served in accordance with this rule on each party. No service need be made on parties against whom a default has been entered, except that pleadings asserting new or additional claims against them must be served in the manner provided for service of summons.</w:t>
      </w:r>
    </w:p>
    <w:p w14:paraId="12031114"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(b)</w:t>
      </w:r>
      <w:r w:rsidRPr="00D06DE4">
        <w:rPr>
          <w:rStyle w:val="Bold"/>
          <w:rFonts w:ascii="Bookman Old Style" w:hAnsi="Bookman Old Style"/>
          <w:sz w:val="22"/>
        </w:rPr>
        <w:tab/>
        <w:t>Service; How Made.</w:t>
      </w:r>
      <w:r w:rsidRPr="00D06DE4">
        <w:rPr>
          <w:rStyle w:val="Normal1"/>
          <w:rFonts w:ascii="Bookman Old Style" w:hAnsi="Bookman Old Style"/>
          <w:sz w:val="22"/>
        </w:rPr>
        <w:t xml:space="preserve"> When service is required or permitted to be made upon a party represented by an attorney, service must be made upon the attorney unless service upon the party is ordered by the court.</w:t>
      </w:r>
    </w:p>
    <w:p w14:paraId="1AB2E9EF"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(1)</w:t>
      </w:r>
      <w:r w:rsidRPr="00D06DE4">
        <w:rPr>
          <w:rStyle w:val="Bold"/>
          <w:rFonts w:ascii="Bookman Old Style" w:hAnsi="Bookman Old Style"/>
          <w:sz w:val="22"/>
        </w:rPr>
        <w:tab/>
        <w:t>Service by Electronic Mail (“e-mail”).</w:t>
      </w:r>
      <w:r w:rsidRPr="00D06DE4">
        <w:rPr>
          <w:rStyle w:val="Normal1"/>
          <w:rFonts w:ascii="Bookman Old Style" w:hAnsi="Bookman Old Style"/>
          <w:sz w:val="22"/>
        </w:rPr>
        <w:t xml:space="preserve"> All documents required or permitted to be served on another party must be served by e-mail, unless the parties otherwise stipulate or this rule otherwise provides. </w:t>
      </w:r>
      <w:r w:rsidRPr="00D06DE4">
        <w:rPr>
          <w:rFonts w:ascii="Bookman Old Style" w:hAnsi="Bookman Old Style"/>
          <w:sz w:val="22"/>
        </w:rPr>
        <w:t>A filer of an electronic document has complied with this subdivision if the Florida Courts e-filing Portal (“Portal”) or other authorized electronic filing system with a supreme court approved electronic service system (“e-Service system”) served the document by e-mail or provided a link by e-mail to the document on a website maintained by a clerk (“e-Service”). The filer of an electronic document must verify that the Portal or other e-Service system uses the names and e-mail addresses provided by the parties pursuant to subdivision (b)(1)(A).</w:t>
      </w:r>
    </w:p>
    <w:p w14:paraId="5CC53C1B" w14:textId="77777777" w:rsidR="00743B4B" w:rsidRPr="00D06DE4" w:rsidRDefault="00743B4B" w:rsidP="00743B4B">
      <w:pPr>
        <w:pStyle w:val="SubdivisionA0"/>
        <w:rPr>
          <w:rStyle w:val="Normal1"/>
          <w:rFonts w:ascii="Bookman Old Style" w:hAnsi="Bookman Old Style"/>
          <w:sz w:val="22"/>
        </w:rPr>
      </w:pPr>
      <w:r w:rsidRPr="00D06DE4">
        <w:rPr>
          <w:rStyle w:val="Bold"/>
          <w:rFonts w:ascii="Bookman Old Style" w:hAnsi="Bookman Old Style"/>
          <w:sz w:val="22"/>
        </w:rPr>
        <w:t>(A)</w:t>
      </w:r>
      <w:r w:rsidRPr="00D06DE4">
        <w:rPr>
          <w:rStyle w:val="Bold"/>
          <w:rFonts w:ascii="Bookman Old Style" w:hAnsi="Bookman Old Style"/>
          <w:sz w:val="22"/>
        </w:rPr>
        <w:tab/>
        <w:t>Service on Attorneys.</w:t>
      </w:r>
      <w:r w:rsidRPr="00D06DE4">
        <w:rPr>
          <w:rStyle w:val="Normal1"/>
          <w:rFonts w:ascii="Bookman Old Style" w:hAnsi="Bookman Old Style"/>
          <w:sz w:val="22"/>
        </w:rPr>
        <w:t xml:space="preserve"> Upon appearing in a proceeding, an attorney must designate a primary e-mail address and may designate no more than two secondary e-mail addresses </w:t>
      </w:r>
      <w:r w:rsidRPr="00D06DE4">
        <w:rPr>
          <w:rFonts w:ascii="Bookman Old Style" w:hAnsi="Bookman Old Style"/>
          <w:sz w:val="22"/>
        </w:rPr>
        <w:t>and is responsible for the accuracy of and changes to that attorney’s own e-mail addresses maintained by the Portal or other e-Service system.</w:t>
      </w:r>
      <w:r w:rsidRPr="00D06DE4">
        <w:rPr>
          <w:rStyle w:val="Normal1"/>
          <w:rFonts w:ascii="Bookman Old Style" w:hAnsi="Bookman Old Style"/>
          <w:sz w:val="22"/>
        </w:rPr>
        <w:t xml:space="preserve"> Thereafter, service must be directed to all designated e-mail addresses in that proceeding. Every document filed or served by an attorney thereafter must include the primary e-mail address of that attorney and any secondary e-mail addresses. If an attorney does not designate any e-mail address for service, documents may be served on that attorney at the e-mail address on record with The Florida Bar.</w:t>
      </w:r>
    </w:p>
    <w:p w14:paraId="159FC030" w14:textId="77777777" w:rsidR="00743B4B" w:rsidRPr="00AE5A81" w:rsidRDefault="00743B4B" w:rsidP="00743B4B">
      <w:pPr>
        <w:pStyle w:val="SubdivisionA0"/>
        <w:rPr>
          <w:rStyle w:val="Normal1"/>
          <w:rFonts w:ascii="Bookman Old Style" w:hAnsi="Bookman Old Style"/>
          <w:sz w:val="22"/>
        </w:rPr>
      </w:pPr>
      <w:r w:rsidRPr="00D06DE4">
        <w:rPr>
          <w:rStyle w:val="Bold"/>
          <w:rFonts w:ascii="Bookman Old Style" w:hAnsi="Bookman Old Style"/>
          <w:sz w:val="22"/>
        </w:rPr>
        <w:t>(B)</w:t>
      </w:r>
      <w:r w:rsidRPr="00D06DE4">
        <w:rPr>
          <w:rStyle w:val="Bold"/>
          <w:rFonts w:ascii="Bookman Old Style" w:hAnsi="Bookman Old Style"/>
          <w:sz w:val="22"/>
        </w:rPr>
        <w:tab/>
        <w:t xml:space="preserve">Exception to E-mail Service on Attorneys. </w:t>
      </w:r>
      <w:r w:rsidRPr="00D06DE4">
        <w:rPr>
          <w:rStyle w:val="Normal1"/>
          <w:rFonts w:ascii="Bookman Old Style" w:hAnsi="Bookman Old Style"/>
          <w:sz w:val="22"/>
        </w:rPr>
        <w:t xml:space="preserve">Upon motion by an attorney demonstrating that the attorney has no e-mail account and lacks access to the Internet at the attorney’s office, the court may excuse the attorney from the requirements of e-mail service. Service on and by an attorney excused by the court from e-mail service must </w:t>
      </w:r>
      <w:r w:rsidRPr="00AE5A81">
        <w:rPr>
          <w:rStyle w:val="Normal1"/>
          <w:rFonts w:ascii="Bookman Old Style" w:hAnsi="Bookman Old Style"/>
          <w:sz w:val="22"/>
        </w:rPr>
        <w:t>be by the means provided in subdivision (b)(2).</w:t>
      </w:r>
    </w:p>
    <w:p w14:paraId="0966EB4E" w14:textId="77777777" w:rsidR="000F3EFE" w:rsidRDefault="00743B4B" w:rsidP="00743B4B">
      <w:pPr>
        <w:pStyle w:val="SubdivisionA0"/>
        <w:rPr>
          <w:rStyle w:val="Normal1"/>
          <w:rFonts w:ascii="Bookman Old Style" w:hAnsi="Bookman Old Style"/>
          <w:sz w:val="22"/>
        </w:rPr>
      </w:pPr>
      <w:r w:rsidRPr="00AE5A81">
        <w:rPr>
          <w:rStyle w:val="Bold"/>
          <w:rFonts w:ascii="Bookman Old Style" w:hAnsi="Bookman Old Style"/>
          <w:sz w:val="22"/>
        </w:rPr>
        <w:t>(C)</w:t>
      </w:r>
      <w:r w:rsidRPr="00AE5A81">
        <w:rPr>
          <w:rStyle w:val="Bold"/>
          <w:rFonts w:ascii="Bookman Old Style" w:hAnsi="Bookman Old Style"/>
          <w:sz w:val="22"/>
        </w:rPr>
        <w:tab/>
      </w:r>
      <w:commentRangeStart w:id="2"/>
      <w:r w:rsidRPr="00AE5A81">
        <w:rPr>
          <w:rStyle w:val="Bold"/>
          <w:rFonts w:ascii="Bookman Old Style" w:hAnsi="Bookman Old Style"/>
          <w:sz w:val="22"/>
        </w:rPr>
        <w:t>Service</w:t>
      </w:r>
      <w:commentRangeEnd w:id="2"/>
      <w:r w:rsidR="00AE5A81">
        <w:rPr>
          <w:rStyle w:val="CommentReference"/>
          <w:rFonts w:asciiTheme="minorHAnsi" w:eastAsiaTheme="minorHAnsi" w:hAnsiTheme="minorHAnsi" w:cstheme="minorBidi"/>
        </w:rPr>
        <w:commentReference w:id="2"/>
      </w:r>
      <w:r w:rsidRPr="00AE5A81">
        <w:rPr>
          <w:rStyle w:val="Bold"/>
          <w:rFonts w:ascii="Bookman Old Style" w:hAnsi="Bookman Old Style"/>
          <w:sz w:val="22"/>
        </w:rPr>
        <w:t xml:space="preserve"> on and by Parties Not Represented by an Attorney.</w:t>
      </w:r>
      <w:r w:rsidRPr="00AE5A81">
        <w:rPr>
          <w:rStyle w:val="Normal1"/>
          <w:rFonts w:ascii="Bookman Old Style" w:hAnsi="Bookman Old Style"/>
          <w:sz w:val="22"/>
        </w:rPr>
        <w:t xml:space="preserve"> Any party not represented by an attorney may serve a designation of a primary e-mail address </w:t>
      </w:r>
      <w:proofErr w:type="gramStart"/>
      <w:r w:rsidRPr="00AE5A81">
        <w:rPr>
          <w:rStyle w:val="Normal1"/>
          <w:rFonts w:ascii="Bookman Old Style" w:hAnsi="Bookman Old Style"/>
          <w:sz w:val="22"/>
        </w:rPr>
        <w:t>and also</w:t>
      </w:r>
      <w:proofErr w:type="gramEnd"/>
      <w:r w:rsidRPr="00AE5A81">
        <w:rPr>
          <w:rStyle w:val="Normal1"/>
          <w:rFonts w:ascii="Bookman Old Style" w:hAnsi="Bookman Old Style"/>
          <w:sz w:val="22"/>
        </w:rPr>
        <w:t xml:space="preserve"> may designate no more than two secondary e-mail addresses to which service must be directed in that proceeding by the means provided in subdivision (b)(1) of this rule. If a party not represented by an attorney does not designate an e-mail address for service in a proceeding, service on and by that party must be by the means provided in subdivision (b)(2).</w:t>
      </w:r>
      <w:r w:rsidR="00AB0B34">
        <w:rPr>
          <w:rStyle w:val="Normal1"/>
          <w:rFonts w:ascii="Bookman Old Style" w:hAnsi="Bookman Old Style"/>
          <w:sz w:val="22"/>
        </w:rPr>
        <w:t xml:space="preserve"> </w:t>
      </w:r>
    </w:p>
    <w:p w14:paraId="70A2A267" w14:textId="0F03A1AD" w:rsidR="000F3EFE" w:rsidRDefault="00FF636C" w:rsidP="00FF636C">
      <w:pPr>
        <w:pStyle w:val="SubdivisionA0"/>
        <w:jc w:val="both"/>
        <w:rPr>
          <w:rStyle w:val="Normal1"/>
          <w:rFonts w:ascii="Bookman Old Style" w:hAnsi="Bookman Old Style"/>
          <w:sz w:val="22"/>
        </w:rPr>
      </w:pPr>
      <w:r>
        <w:rPr>
          <w:rStyle w:val="Normal1"/>
          <w:rFonts w:ascii="Bookman Old Style" w:hAnsi="Bookman Old Style"/>
          <w:sz w:val="22"/>
          <w:highlight w:val="yellow"/>
        </w:rPr>
        <w:lastRenderedPageBreak/>
        <w:t xml:space="preserve">(1) </w:t>
      </w:r>
      <w:commentRangeStart w:id="3"/>
      <w:r>
        <w:rPr>
          <w:rStyle w:val="Normal1"/>
          <w:rFonts w:ascii="Bookman Old Style" w:hAnsi="Bookman Old Style"/>
          <w:b/>
          <w:bCs/>
          <w:sz w:val="22"/>
          <w:highlight w:val="yellow"/>
        </w:rPr>
        <w:t xml:space="preserve">Opt-Out of Designated Email Service by Parties Not Represented by an Attorney. </w:t>
      </w:r>
      <w:r w:rsidR="000F3EFE" w:rsidRPr="000F3EFE">
        <w:rPr>
          <w:rStyle w:val="Normal1"/>
          <w:rFonts w:ascii="Bookman Old Style" w:hAnsi="Bookman Old Style"/>
          <w:sz w:val="22"/>
          <w:highlight w:val="yellow"/>
        </w:rPr>
        <w:t xml:space="preserve">If a party not represented by an attorney designates a primary e-mail address or any subsequent e-mail addresses chooses to no longer have </w:t>
      </w:r>
      <w:r w:rsidR="00CF13EB">
        <w:rPr>
          <w:rStyle w:val="Normal1"/>
          <w:rFonts w:ascii="Bookman Old Style" w:hAnsi="Bookman Old Style"/>
          <w:sz w:val="22"/>
          <w:highlight w:val="yellow"/>
        </w:rPr>
        <w:t xml:space="preserve">an </w:t>
      </w:r>
      <w:r w:rsidR="000F3EFE" w:rsidRPr="000F3EFE">
        <w:rPr>
          <w:rStyle w:val="Normal1"/>
          <w:rFonts w:ascii="Bookman Old Style" w:hAnsi="Bookman Old Style"/>
          <w:sz w:val="22"/>
          <w:highlight w:val="yellow"/>
        </w:rPr>
        <w:t>e-mail address</w:t>
      </w:r>
      <w:r w:rsidR="00CF13EB">
        <w:rPr>
          <w:rStyle w:val="Normal1"/>
          <w:rFonts w:ascii="Bookman Old Style" w:hAnsi="Bookman Old Style"/>
          <w:sz w:val="22"/>
          <w:highlight w:val="yellow"/>
        </w:rPr>
        <w:t xml:space="preserve"> designated</w:t>
      </w:r>
      <w:r w:rsidR="000F3EFE" w:rsidRPr="000F3EFE">
        <w:rPr>
          <w:rStyle w:val="Normal1"/>
          <w:rFonts w:ascii="Bookman Old Style" w:hAnsi="Bookman Old Style"/>
          <w:sz w:val="22"/>
          <w:highlight w:val="yellow"/>
        </w:rPr>
        <w:t xml:space="preserve"> and would like to serve by </w:t>
      </w:r>
      <w:r w:rsidR="0089287E">
        <w:rPr>
          <w:rStyle w:val="Normal1"/>
          <w:rFonts w:ascii="Bookman Old Style" w:hAnsi="Bookman Old Style"/>
          <w:sz w:val="22"/>
          <w:highlight w:val="yellow"/>
        </w:rPr>
        <w:t>other</w:t>
      </w:r>
      <w:r w:rsidR="000F3EFE" w:rsidRPr="000F3EFE">
        <w:rPr>
          <w:rStyle w:val="Normal1"/>
          <w:rFonts w:ascii="Bookman Old Style" w:hAnsi="Bookman Old Style"/>
          <w:sz w:val="22"/>
          <w:highlight w:val="yellow"/>
        </w:rPr>
        <w:t xml:space="preserve"> means, the party must place all other parties to the action on notice that the party chooses to no longer receive</w:t>
      </w:r>
      <w:r w:rsidR="007826D2">
        <w:rPr>
          <w:rStyle w:val="Normal1"/>
          <w:rFonts w:ascii="Bookman Old Style" w:hAnsi="Bookman Old Style"/>
          <w:sz w:val="22"/>
          <w:highlight w:val="yellow"/>
        </w:rPr>
        <w:t xml:space="preserve"> or provide </w:t>
      </w:r>
      <w:r w:rsidR="000F3EFE" w:rsidRPr="000F3EFE">
        <w:rPr>
          <w:rStyle w:val="Normal1"/>
          <w:rFonts w:ascii="Bookman Old Style" w:hAnsi="Bookman Old Style"/>
          <w:sz w:val="22"/>
          <w:highlight w:val="yellow"/>
        </w:rPr>
        <w:t xml:space="preserve">documents by e-mail and elect service </w:t>
      </w:r>
      <w:r w:rsidR="00CF13EB">
        <w:rPr>
          <w:rStyle w:val="Normal1"/>
          <w:rFonts w:ascii="Bookman Old Style" w:hAnsi="Bookman Old Style"/>
          <w:sz w:val="22"/>
          <w:highlight w:val="yellow"/>
        </w:rPr>
        <w:t>to receive</w:t>
      </w:r>
      <w:r w:rsidR="007826D2">
        <w:rPr>
          <w:rStyle w:val="Normal1"/>
          <w:rFonts w:ascii="Bookman Old Style" w:hAnsi="Bookman Old Style"/>
          <w:sz w:val="22"/>
          <w:highlight w:val="yellow"/>
        </w:rPr>
        <w:t xml:space="preserve"> and provide</w:t>
      </w:r>
      <w:r w:rsidR="00CF13EB">
        <w:rPr>
          <w:rStyle w:val="Normal1"/>
          <w:rFonts w:ascii="Bookman Old Style" w:hAnsi="Bookman Old Style"/>
          <w:sz w:val="22"/>
          <w:highlight w:val="yellow"/>
        </w:rPr>
        <w:t xml:space="preserve"> documents </w:t>
      </w:r>
      <w:r w:rsidR="000F3EFE" w:rsidRPr="000F3EFE">
        <w:rPr>
          <w:rStyle w:val="Normal1"/>
          <w:rFonts w:ascii="Bookman Old Style" w:hAnsi="Bookman Old Style"/>
          <w:sz w:val="22"/>
          <w:highlight w:val="yellow"/>
        </w:rPr>
        <w:t>by the means provided</w:t>
      </w:r>
      <w:r w:rsidR="0089287E">
        <w:rPr>
          <w:rStyle w:val="Normal1"/>
          <w:rFonts w:ascii="Bookman Old Style" w:hAnsi="Bookman Old Style"/>
          <w:sz w:val="22"/>
          <w:highlight w:val="yellow"/>
        </w:rPr>
        <w:t xml:space="preserve"> in</w:t>
      </w:r>
      <w:r w:rsidR="000F3EFE" w:rsidRPr="000F3EFE">
        <w:rPr>
          <w:rStyle w:val="Normal1"/>
          <w:rFonts w:ascii="Bookman Old Style" w:hAnsi="Bookman Old Style"/>
          <w:sz w:val="22"/>
          <w:highlight w:val="yellow"/>
        </w:rPr>
        <w:t xml:space="preserve"> subdivision</w:t>
      </w:r>
      <w:r w:rsidR="0089287E">
        <w:rPr>
          <w:rStyle w:val="Normal1"/>
          <w:rFonts w:ascii="Bookman Old Style" w:hAnsi="Bookman Old Style"/>
          <w:sz w:val="22"/>
          <w:highlight w:val="yellow"/>
        </w:rPr>
        <w:t xml:space="preserve"> </w:t>
      </w:r>
      <w:r w:rsidR="000F3EFE" w:rsidRPr="000F3EFE">
        <w:rPr>
          <w:rStyle w:val="Normal1"/>
          <w:rFonts w:ascii="Bookman Old Style" w:hAnsi="Bookman Old Style"/>
          <w:sz w:val="22"/>
          <w:highlight w:val="yellow"/>
        </w:rPr>
        <w:t>(b)(2)</w:t>
      </w:r>
      <w:r w:rsidR="000F3EFE" w:rsidRPr="000F3EFE">
        <w:rPr>
          <w:rStyle w:val="Normal1"/>
          <w:rFonts w:ascii="Bookman Old Style" w:hAnsi="Bookman Old Style"/>
          <w:sz w:val="22"/>
        </w:rPr>
        <w:t xml:space="preserve"> </w:t>
      </w:r>
      <w:commentRangeEnd w:id="3"/>
      <w:r w:rsidR="00286B93">
        <w:rPr>
          <w:rStyle w:val="CommentReference"/>
          <w:rFonts w:asciiTheme="minorHAnsi" w:eastAsiaTheme="minorHAnsi" w:hAnsiTheme="minorHAnsi" w:cstheme="minorBidi"/>
        </w:rPr>
        <w:commentReference w:id="3"/>
      </w:r>
    </w:p>
    <w:p w14:paraId="1094D500" w14:textId="39579958" w:rsidR="00743B4B" w:rsidRPr="00D06DE4" w:rsidRDefault="00743B4B" w:rsidP="00743B4B">
      <w:pPr>
        <w:pStyle w:val="SubdivisionA0"/>
        <w:rPr>
          <w:rStyle w:val="Normal1"/>
          <w:rFonts w:ascii="Bookman Old Style" w:hAnsi="Bookman Old Style"/>
          <w:sz w:val="22"/>
        </w:rPr>
      </w:pPr>
      <w:r w:rsidRPr="00D06DE4">
        <w:rPr>
          <w:rStyle w:val="Bold"/>
          <w:rFonts w:ascii="Bookman Old Style" w:hAnsi="Bookman Old Style"/>
          <w:sz w:val="22"/>
        </w:rPr>
        <w:t>(D)</w:t>
      </w:r>
      <w:r w:rsidRPr="00D06DE4">
        <w:rPr>
          <w:rStyle w:val="Bold"/>
          <w:rFonts w:ascii="Bookman Old Style" w:hAnsi="Bookman Old Style"/>
          <w:sz w:val="22"/>
        </w:rPr>
        <w:tab/>
        <w:t>Time of Service.</w:t>
      </w:r>
      <w:r w:rsidRPr="00D06DE4">
        <w:rPr>
          <w:rStyle w:val="Normal1"/>
          <w:rFonts w:ascii="Bookman Old Style" w:hAnsi="Bookman Old Style"/>
          <w:sz w:val="22"/>
        </w:rPr>
        <w:t xml:space="preserve"> Service by e-mail is complete on the date it is sent.</w:t>
      </w:r>
    </w:p>
    <w:p w14:paraId="38BC2B2E" w14:textId="77777777" w:rsidR="00743B4B" w:rsidRPr="00D06DE4" w:rsidRDefault="00743B4B" w:rsidP="00743B4B">
      <w:pPr>
        <w:pStyle w:val="Subdivisioni"/>
        <w:rPr>
          <w:rStyle w:val="Normal1"/>
          <w:rFonts w:ascii="Bookman Old Style" w:hAnsi="Bookman Old Style"/>
          <w:sz w:val="22"/>
        </w:rPr>
      </w:pPr>
      <w:r w:rsidRPr="00D06DE4">
        <w:rPr>
          <w:rFonts w:ascii="Bookman Old Style" w:hAnsi="Bookman Old Style"/>
          <w:sz w:val="22"/>
        </w:rPr>
        <w:t>(i)</w:t>
      </w:r>
      <w:r w:rsidRPr="00D06DE4">
        <w:rPr>
          <w:rFonts w:ascii="Bookman Old Style" w:hAnsi="Bookman Old Style"/>
          <w:sz w:val="22"/>
        </w:rPr>
        <w:tab/>
        <w:t>If, however, the e-mail is sent by the Portal or other e-Service system, service is complete on the date the served document is electronically filed.</w:t>
      </w:r>
    </w:p>
    <w:p w14:paraId="25D156CF" w14:textId="77777777" w:rsidR="00743B4B" w:rsidRPr="00D06DE4" w:rsidRDefault="00743B4B" w:rsidP="00743B4B">
      <w:pPr>
        <w:pStyle w:val="Subdivisioni"/>
        <w:rPr>
          <w:rStyle w:val="Normal1"/>
          <w:rFonts w:ascii="Bookman Old Style" w:hAnsi="Bookman Old Style"/>
          <w:sz w:val="22"/>
        </w:rPr>
      </w:pPr>
      <w:r w:rsidRPr="00D06DE4">
        <w:rPr>
          <w:rStyle w:val="Normal1"/>
          <w:rFonts w:ascii="Bookman Old Style" w:hAnsi="Bookman Old Style"/>
          <w:sz w:val="22"/>
        </w:rPr>
        <w:t>(ii)</w:t>
      </w:r>
      <w:r w:rsidRPr="00D06DE4">
        <w:rPr>
          <w:rStyle w:val="Normal1"/>
          <w:rFonts w:ascii="Bookman Old Style" w:hAnsi="Bookman Old Style"/>
          <w:sz w:val="22"/>
        </w:rPr>
        <w:tab/>
        <w:t xml:space="preserve">If the person required to serve a document learns that the e-mail was not received by an intended recipient, the person must immediately resend the document to that intended recipient by e-mail, or by a means authorized by subdivision (b)(2) of this rule. </w:t>
      </w:r>
    </w:p>
    <w:p w14:paraId="6AFC0788" w14:textId="77777777" w:rsidR="00743B4B" w:rsidRPr="00D06DE4" w:rsidRDefault="00743B4B" w:rsidP="00743B4B">
      <w:pPr>
        <w:pStyle w:val="SubdivisionA0"/>
        <w:rPr>
          <w:rStyle w:val="Normal1"/>
          <w:rFonts w:ascii="Bookman Old Style" w:hAnsi="Bookman Old Style"/>
          <w:sz w:val="22"/>
        </w:rPr>
      </w:pPr>
      <w:r w:rsidRPr="00D06DE4">
        <w:rPr>
          <w:rStyle w:val="Bold"/>
          <w:rFonts w:ascii="Bookman Old Style" w:hAnsi="Bookman Old Style"/>
          <w:sz w:val="22"/>
        </w:rPr>
        <w:t>(E)</w:t>
      </w:r>
      <w:r w:rsidRPr="00D06DE4">
        <w:rPr>
          <w:rStyle w:val="Bold"/>
          <w:rFonts w:ascii="Bookman Old Style" w:hAnsi="Bookman Old Style"/>
          <w:sz w:val="22"/>
        </w:rPr>
        <w:tab/>
        <w:t>Format of E-mail for Service.</w:t>
      </w:r>
      <w:r w:rsidRPr="00D06DE4">
        <w:rPr>
          <w:rStyle w:val="Normal1"/>
          <w:rFonts w:ascii="Bookman Old Style" w:hAnsi="Bookman Old Style"/>
          <w:sz w:val="22"/>
        </w:rPr>
        <w:t xml:space="preserve"> Service of a document by e-mail is made by an e-mail sent to all addresses designated by the attorney or party with either (a) a copy of the document in PDF format attached or (b) a link to the document on a website maintained by a clerk.</w:t>
      </w:r>
    </w:p>
    <w:p w14:paraId="61B9DF6B" w14:textId="77777777" w:rsidR="00743B4B" w:rsidRPr="00D06DE4" w:rsidRDefault="00743B4B" w:rsidP="00743B4B">
      <w:pPr>
        <w:pStyle w:val="Subdivisioni"/>
        <w:rPr>
          <w:rStyle w:val="Normal1"/>
          <w:rFonts w:ascii="Bookman Old Style" w:hAnsi="Bookman Old Style"/>
          <w:sz w:val="22"/>
        </w:rPr>
      </w:pPr>
      <w:r w:rsidRPr="00D06DE4">
        <w:rPr>
          <w:rStyle w:val="Normal1"/>
          <w:rFonts w:ascii="Bookman Old Style" w:hAnsi="Bookman Old Style"/>
          <w:sz w:val="22"/>
        </w:rPr>
        <w:t>(i)</w:t>
      </w:r>
      <w:r w:rsidRPr="00D06DE4">
        <w:rPr>
          <w:rStyle w:val="Normal1"/>
          <w:rFonts w:ascii="Bookman Old Style" w:hAnsi="Bookman Old Style"/>
          <w:sz w:val="22"/>
        </w:rPr>
        <w:tab/>
        <w:t>All documents served by e-mail must be sent by an e-mail message containing a subject line beginning with the words “SERVICE OF COURT DOCUMENT” in all capital letters, followed by the case number and case style of the proceeding in which the documents are being served.</w:t>
      </w:r>
    </w:p>
    <w:p w14:paraId="32BD052E" w14:textId="77777777" w:rsidR="00743B4B" w:rsidRPr="00D06DE4" w:rsidRDefault="00743B4B" w:rsidP="00743B4B">
      <w:pPr>
        <w:pStyle w:val="Subdivisioni"/>
        <w:rPr>
          <w:rStyle w:val="Normal1"/>
          <w:rFonts w:ascii="Bookman Old Style" w:hAnsi="Bookman Old Style"/>
          <w:sz w:val="22"/>
        </w:rPr>
      </w:pPr>
      <w:r w:rsidRPr="00D06DE4">
        <w:rPr>
          <w:rStyle w:val="Normal1"/>
          <w:rFonts w:ascii="Bookman Old Style" w:hAnsi="Bookman Old Style"/>
          <w:sz w:val="22"/>
        </w:rPr>
        <w:t>(ii)</w:t>
      </w:r>
      <w:r w:rsidRPr="00D06DE4">
        <w:rPr>
          <w:rStyle w:val="Normal1"/>
          <w:rFonts w:ascii="Bookman Old Style" w:hAnsi="Bookman Old Style"/>
          <w:sz w:val="22"/>
        </w:rPr>
        <w:tab/>
        <w:t>The body of the e-mail must identify the court in which the proceeding is pending, the case number, the name of the initial party on each side, the title of each document served with that e-mail, and the name and telephone number of the person required to serve the document.</w:t>
      </w:r>
    </w:p>
    <w:p w14:paraId="187C927A" w14:textId="77777777" w:rsidR="00743B4B" w:rsidRPr="00D06DE4" w:rsidRDefault="00743B4B" w:rsidP="00743B4B">
      <w:pPr>
        <w:pStyle w:val="Subdivisioni"/>
        <w:rPr>
          <w:rStyle w:val="Normal1"/>
          <w:rFonts w:ascii="Bookman Old Style" w:hAnsi="Bookman Old Style"/>
          <w:sz w:val="22"/>
        </w:rPr>
      </w:pPr>
      <w:r w:rsidRPr="00D06DE4">
        <w:rPr>
          <w:rStyle w:val="Normal1"/>
          <w:rFonts w:ascii="Bookman Old Style" w:hAnsi="Bookman Old Style"/>
          <w:sz w:val="22"/>
        </w:rPr>
        <w:t>(iii)</w:t>
      </w:r>
      <w:r w:rsidRPr="00D06DE4">
        <w:rPr>
          <w:rStyle w:val="Normal1"/>
          <w:rFonts w:ascii="Bookman Old Style" w:hAnsi="Bookman Old Style"/>
          <w:sz w:val="22"/>
        </w:rPr>
        <w:tab/>
        <w:t>Any document served by e-mail may be signed by any of the “/s/,” “/s,” or “s/” formats.</w:t>
      </w:r>
    </w:p>
    <w:p w14:paraId="7E0C00D9" w14:textId="77777777" w:rsidR="00743B4B" w:rsidRPr="00D06DE4" w:rsidRDefault="00743B4B" w:rsidP="00743B4B">
      <w:pPr>
        <w:pStyle w:val="Subdivisioni"/>
        <w:rPr>
          <w:rStyle w:val="Normal1"/>
          <w:rFonts w:ascii="Bookman Old Style" w:hAnsi="Bookman Old Style"/>
          <w:sz w:val="22"/>
        </w:rPr>
      </w:pPr>
      <w:r w:rsidRPr="00D06DE4">
        <w:rPr>
          <w:rStyle w:val="Normal1"/>
          <w:rFonts w:ascii="Bookman Old Style" w:hAnsi="Bookman Old Style"/>
          <w:sz w:val="22"/>
        </w:rPr>
        <w:t>(iv)</w:t>
      </w:r>
      <w:r w:rsidRPr="00D06DE4">
        <w:rPr>
          <w:rStyle w:val="Normal1"/>
          <w:rFonts w:ascii="Bookman Old Style" w:hAnsi="Bookman Old Style"/>
          <w:sz w:val="22"/>
        </w:rPr>
        <w:tab/>
        <w:t>Any e-mail which, together with its attached documents, exceeds the appropriate size limitations specified in the Florida Supreme Court Standards for Electronic Access to the Court, must be divided and sent as separate e-mails, no one of which may exceed the appropriate size limitations specified in the Florida Supreme Court Standards for Electronic Access to the Court and each of which must be sequentially numbered in the subject line.</w:t>
      </w:r>
    </w:p>
    <w:p w14:paraId="2D897D51" w14:textId="6F8B4A60"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(2)</w:t>
      </w:r>
      <w:r w:rsidRPr="00D06DE4">
        <w:rPr>
          <w:rStyle w:val="Bold"/>
          <w:rFonts w:ascii="Bookman Old Style" w:hAnsi="Bookman Old Style"/>
          <w:sz w:val="22"/>
        </w:rPr>
        <w:tab/>
        <w:t xml:space="preserve">Service by Other Means. </w:t>
      </w:r>
      <w:r w:rsidRPr="00D06DE4">
        <w:rPr>
          <w:rStyle w:val="Normal1"/>
          <w:rFonts w:ascii="Bookman Old Style" w:hAnsi="Bookman Old Style"/>
          <w:sz w:val="22"/>
        </w:rPr>
        <w:t xml:space="preserve"> In addition to, and not in lieu of, service by e-mail, service may also be made upon attorneys by any of the means specified in this subdivision. If a document is served by more than one method of service, the computation of time for any response to the served document shall be </w:t>
      </w:r>
      <w:r w:rsidRPr="00D06DE4">
        <w:rPr>
          <w:rStyle w:val="Normal1"/>
          <w:rFonts w:ascii="Bookman Old Style" w:hAnsi="Bookman Old Style"/>
          <w:sz w:val="22"/>
        </w:rPr>
        <w:lastRenderedPageBreak/>
        <w:t xml:space="preserve">based on the method of service that provides the shortest response time. </w:t>
      </w:r>
      <w:r w:rsidRPr="007826D2">
        <w:rPr>
          <w:rStyle w:val="Normal1"/>
          <w:rFonts w:ascii="Bookman Old Style" w:hAnsi="Bookman Old Style"/>
          <w:sz w:val="22"/>
          <w:highlight w:val="yellow"/>
        </w:rPr>
        <w:t>Service on and by all parties who are not represented by an attorney and who do not designate an e-mail address</w:t>
      </w:r>
      <w:r w:rsidR="007826D2" w:rsidRPr="007826D2">
        <w:rPr>
          <w:rStyle w:val="Normal1"/>
          <w:rFonts w:ascii="Bookman Old Style" w:hAnsi="Bookman Old Style"/>
          <w:sz w:val="22"/>
          <w:highlight w:val="yellow"/>
        </w:rPr>
        <w:t xml:space="preserve"> or </w:t>
      </w:r>
      <w:commentRangeStart w:id="4"/>
      <w:r w:rsidR="007826D2" w:rsidRPr="007826D2">
        <w:rPr>
          <w:rStyle w:val="Normal1"/>
          <w:rFonts w:ascii="Bookman Old Style" w:hAnsi="Bookman Old Style"/>
          <w:b/>
          <w:bCs/>
          <w:sz w:val="22"/>
          <w:highlight w:val="yellow"/>
        </w:rPr>
        <w:t>chooses to opt-out of designated e-mail service</w:t>
      </w:r>
      <w:commentRangeEnd w:id="4"/>
      <w:r w:rsidR="00286B93">
        <w:rPr>
          <w:rStyle w:val="CommentReference"/>
          <w:rFonts w:asciiTheme="minorHAnsi" w:eastAsiaTheme="minorHAnsi" w:hAnsiTheme="minorHAnsi" w:cstheme="minorBidi"/>
        </w:rPr>
        <w:commentReference w:id="4"/>
      </w:r>
      <w:r w:rsidRPr="007826D2">
        <w:rPr>
          <w:rStyle w:val="Normal1"/>
          <w:rFonts w:ascii="Bookman Old Style" w:hAnsi="Bookman Old Style"/>
          <w:sz w:val="22"/>
          <w:highlight w:val="yellow"/>
        </w:rPr>
        <w:t>, and on and by all attorneys excused from e-mail service</w:t>
      </w:r>
      <w:r w:rsidRPr="00D06DE4">
        <w:rPr>
          <w:rStyle w:val="Normal1"/>
          <w:rFonts w:ascii="Bookman Old Style" w:hAnsi="Bookman Old Style"/>
          <w:sz w:val="22"/>
        </w:rPr>
        <w:t>, must be made by delivering a copy of the document or by mailing it to the party or attorney at their last known address or, if no address is known, by</w:t>
      </w:r>
      <w:r w:rsidRPr="00D06DE4">
        <w:rPr>
          <w:rFonts w:ascii="Bookman Old Style" w:hAnsi="Bookman Old Style"/>
          <w:sz w:val="22"/>
        </w:rPr>
        <w:t xml:space="preserve"> </w:t>
      </w:r>
      <w:r w:rsidRPr="00D06DE4">
        <w:rPr>
          <w:rStyle w:val="Normal1"/>
          <w:rFonts w:ascii="Bookman Old Style" w:hAnsi="Bookman Old Style"/>
          <w:sz w:val="22"/>
        </w:rPr>
        <w:t>noting the non-service in the certificate of service, and stating in the certificate of service that a copy of the served document may be obtained, on request, from the clerk of the court or from the party serving the document. Service by mail is complete upon mailing. Delivery of a copy within this rule is complete upon:</w:t>
      </w:r>
    </w:p>
    <w:p w14:paraId="0E996944"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(A)</w:t>
      </w:r>
      <w:r w:rsidRPr="00D06DE4">
        <w:rPr>
          <w:rStyle w:val="Normal1"/>
          <w:rFonts w:ascii="Bookman Old Style" w:hAnsi="Bookman Old Style"/>
          <w:sz w:val="22"/>
        </w:rPr>
        <w:tab/>
        <w:t>handing it to the attorney or to the party,</w:t>
      </w:r>
    </w:p>
    <w:p w14:paraId="2E680B34"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(B)</w:t>
      </w:r>
      <w:r w:rsidRPr="00D06DE4">
        <w:rPr>
          <w:rStyle w:val="Normal1"/>
          <w:rFonts w:ascii="Bookman Old Style" w:hAnsi="Bookman Old Style"/>
          <w:sz w:val="22"/>
        </w:rPr>
        <w:tab/>
        <w:t>leaving it at the attorney’s or party’s office with a clerk or other person in charge thereof,</w:t>
      </w:r>
    </w:p>
    <w:p w14:paraId="688297E4"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(C)</w:t>
      </w:r>
      <w:r w:rsidRPr="00D06DE4">
        <w:rPr>
          <w:rStyle w:val="Normal1"/>
          <w:rFonts w:ascii="Bookman Old Style" w:hAnsi="Bookman Old Style"/>
          <w:sz w:val="22"/>
        </w:rPr>
        <w:tab/>
        <w:t>if there is no one in charge, leaving it in a conspicuous place therein,</w:t>
      </w:r>
    </w:p>
    <w:p w14:paraId="7509E309"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(D)</w:t>
      </w:r>
      <w:r w:rsidRPr="00D06DE4">
        <w:rPr>
          <w:rStyle w:val="Normal1"/>
          <w:rFonts w:ascii="Bookman Old Style" w:hAnsi="Bookman Old Style"/>
          <w:sz w:val="22"/>
        </w:rPr>
        <w:tab/>
        <w:t>if the office is closed or the person to be served has no office, leaving it at the person’s usual place of abode with some person of his or her family above 15 years of age and informing such person of the contents, or</w:t>
      </w:r>
    </w:p>
    <w:p w14:paraId="1757CEFA"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(E)</w:t>
      </w:r>
      <w:r w:rsidRPr="00D06DE4">
        <w:rPr>
          <w:rStyle w:val="Normal1"/>
          <w:rFonts w:ascii="Bookman Old Style" w:hAnsi="Bookman Old Style"/>
          <w:sz w:val="22"/>
        </w:rPr>
        <w:tab/>
        <w:t>transmitting it by facsimile to the attorney’s or party’s office with a cover sheet containing the sender’s name, firm, address, telephone number, and facsimile number, and the number of pages transmitted. When service is made by facsimile, a copy must also be served by any other method permitted by this rule. Facsimile service occurs when transmission is complete.</w:t>
      </w:r>
    </w:p>
    <w:p w14:paraId="1EAC064B"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(F)</w:t>
      </w:r>
      <w:r w:rsidRPr="00D06DE4">
        <w:rPr>
          <w:rStyle w:val="Normal1"/>
          <w:rFonts w:ascii="Bookman Old Style" w:hAnsi="Bookman Old Style"/>
          <w:sz w:val="22"/>
        </w:rPr>
        <w:tab/>
        <w:t xml:space="preserve">Service by delivery shall be deemed complete on the date of delivery. </w:t>
      </w:r>
    </w:p>
    <w:p w14:paraId="487A2AEF"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(c)</w:t>
      </w:r>
      <w:r w:rsidRPr="00D06DE4">
        <w:rPr>
          <w:rStyle w:val="Bold"/>
          <w:rFonts w:ascii="Bookman Old Style" w:hAnsi="Bookman Old Style"/>
          <w:sz w:val="22"/>
        </w:rPr>
        <w:tab/>
        <w:t xml:space="preserve">Service; Numerous Defendants. </w:t>
      </w:r>
      <w:r w:rsidRPr="00D06DE4">
        <w:rPr>
          <w:rStyle w:val="Normal1"/>
          <w:rFonts w:ascii="Bookman Old Style" w:hAnsi="Bookman Old Style"/>
          <w:sz w:val="22"/>
        </w:rPr>
        <w:t>In actions when the parties are unusually numerous, the court may regulate the service contemplated by these rules on motion or on its own initiative in such manner as may be found to be just and reasonable.</w:t>
      </w:r>
    </w:p>
    <w:p w14:paraId="11CDFBCD"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(d)</w:t>
      </w:r>
      <w:r w:rsidRPr="00D06DE4">
        <w:rPr>
          <w:rStyle w:val="Bold"/>
          <w:rFonts w:ascii="Bookman Old Style" w:hAnsi="Bookman Old Style"/>
          <w:sz w:val="22"/>
        </w:rPr>
        <w:tab/>
        <w:t>Filing.</w:t>
      </w:r>
      <w:r w:rsidRPr="00D06DE4">
        <w:rPr>
          <w:rStyle w:val="Normal1"/>
          <w:rFonts w:ascii="Bookman Old Style" w:hAnsi="Bookman Old Style"/>
          <w:sz w:val="22"/>
        </w:rPr>
        <w:t xml:space="preserve"> All documents must be filed with the court either before service or immediately thereafter, unless otherwise provided for by general law or other rules. If the original of any bond or other document required to be an original is not placed in the court file or deposited with the clerk, a certified copy must be so placed by the clerk.</w:t>
      </w:r>
    </w:p>
    <w:p w14:paraId="2641AD4F" w14:textId="77777777" w:rsidR="00743B4B" w:rsidRPr="00D06DE4" w:rsidRDefault="00743B4B" w:rsidP="00743B4B">
      <w:pPr>
        <w:pStyle w:val="Subdivisiona"/>
        <w:rPr>
          <w:rFonts w:ascii="Bookman Old Style" w:hAnsi="Bookman Old Style"/>
          <w:sz w:val="22"/>
        </w:rPr>
      </w:pPr>
      <w:r w:rsidRPr="00D06DE4">
        <w:rPr>
          <w:rStyle w:val="Bold"/>
          <w:rFonts w:ascii="Bookman Old Style" w:hAnsi="Bookman Old Style"/>
          <w:sz w:val="22"/>
        </w:rPr>
        <w:t>(e)</w:t>
      </w:r>
      <w:r w:rsidRPr="00D06DE4">
        <w:rPr>
          <w:rStyle w:val="Bold"/>
          <w:rFonts w:ascii="Bookman Old Style" w:hAnsi="Bookman Old Style"/>
          <w:sz w:val="22"/>
        </w:rPr>
        <w:tab/>
        <w:t xml:space="preserve">Filing Defined. </w:t>
      </w:r>
      <w:r w:rsidRPr="00D06DE4">
        <w:rPr>
          <w:rStyle w:val="Normal1"/>
          <w:rFonts w:ascii="Bookman Old Style" w:hAnsi="Bookman Old Style"/>
          <w:sz w:val="22"/>
        </w:rPr>
        <w:t>The filing of documents with the court as required by these rules must be made by filing them with the clerk in accordance with rule 2.525, except that the judge may permit documents to be filed with the judge, in which event the judge must note the filing date before him or her on the documents and transmit them to the clerk. The date of filing is that shown on the face of the document by the judge’s notation or the clerk’s time stamp, whichever is earlier.</w:t>
      </w:r>
    </w:p>
    <w:p w14:paraId="40A26E44" w14:textId="77777777" w:rsidR="00743B4B" w:rsidRPr="00D06DE4" w:rsidRDefault="00743B4B" w:rsidP="00743B4B">
      <w:pPr>
        <w:pStyle w:val="DefaultParagraph"/>
        <w:rPr>
          <w:rStyle w:val="Bold"/>
          <w:rFonts w:ascii="Bookman Old Style" w:hAnsi="Bookman Old Style"/>
          <w:sz w:val="22"/>
        </w:rPr>
      </w:pPr>
      <w:r w:rsidRPr="00D06DE4">
        <w:rPr>
          <w:rStyle w:val="Bold"/>
          <w:rFonts w:ascii="Bookman Old Style" w:hAnsi="Bookman Old Style"/>
          <w:sz w:val="22"/>
        </w:rPr>
        <w:lastRenderedPageBreak/>
        <w:t>(f)</w:t>
      </w:r>
      <w:r w:rsidRPr="00D06DE4">
        <w:rPr>
          <w:rStyle w:val="Bold"/>
          <w:rFonts w:ascii="Bookman Old Style" w:hAnsi="Bookman Old Style"/>
          <w:sz w:val="22"/>
        </w:rPr>
        <w:tab/>
        <w:t xml:space="preserve">Certificate of Service. </w:t>
      </w:r>
      <w:r w:rsidRPr="00D06DE4">
        <w:rPr>
          <w:rStyle w:val="Normal1"/>
          <w:rFonts w:ascii="Bookman Old Style" w:hAnsi="Bookman Old Style"/>
          <w:sz w:val="22"/>
        </w:rPr>
        <w:t>When any attorney certifies in substance:</w:t>
      </w:r>
    </w:p>
    <w:p w14:paraId="326CF3E1" w14:textId="77777777" w:rsidR="00743B4B" w:rsidRPr="00D06DE4" w:rsidRDefault="00743B4B" w:rsidP="00743B4B">
      <w:pPr>
        <w:pStyle w:val="DefaultParagraph"/>
        <w:rPr>
          <w:rStyle w:val="Normal1"/>
          <w:rFonts w:ascii="Bookman Old Style" w:hAnsi="Bookman Old Style"/>
          <w:sz w:val="22"/>
        </w:rPr>
      </w:pPr>
      <w:r w:rsidRPr="00D06DE4">
        <w:rPr>
          <w:rStyle w:val="Normal1"/>
          <w:rFonts w:ascii="Bookman Old Style" w:hAnsi="Bookman Old Style"/>
          <w:sz w:val="22"/>
        </w:rPr>
        <w:t xml:space="preserve">“I certify that the foregoing document has been furnished to (here insert name or names, addresses used for service, and mailing addresses) by (e-mail) (delivery) (mail) (fax) on </w:t>
      </w:r>
      <w:proofErr w:type="gramStart"/>
      <w:r w:rsidRPr="00D06DE4">
        <w:rPr>
          <w:rStyle w:val="Normal1"/>
          <w:rFonts w:ascii="Bookman Old Style" w:hAnsi="Bookman Old Style"/>
          <w:sz w:val="22"/>
        </w:rPr>
        <w:t>.....</w:t>
      </w:r>
      <w:proofErr w:type="gramEnd"/>
      <w:r w:rsidRPr="00D06DE4">
        <w:rPr>
          <w:rStyle w:val="Normal1"/>
          <w:rFonts w:ascii="Bookman Old Style" w:hAnsi="Bookman Old Style"/>
          <w:sz w:val="22"/>
        </w:rPr>
        <w:t xml:space="preserve"> (date) </w:t>
      </w:r>
      <w:proofErr w:type="gramStart"/>
      <w:r w:rsidRPr="00D06DE4">
        <w:rPr>
          <w:rStyle w:val="Normal1"/>
          <w:rFonts w:ascii="Bookman Old Style" w:hAnsi="Bookman Old Style"/>
          <w:sz w:val="22"/>
        </w:rPr>
        <w:t>…..</w:t>
      </w:r>
      <w:proofErr w:type="gramEnd"/>
    </w:p>
    <w:p w14:paraId="18D4DC07" w14:textId="77777777" w:rsidR="00743B4B" w:rsidRPr="00D06DE4" w:rsidRDefault="00743B4B" w:rsidP="00743B4B">
      <w:pPr>
        <w:pStyle w:val="Signatureblocks-left"/>
        <w:tabs>
          <w:tab w:val="left" w:pos="9180"/>
        </w:tabs>
        <w:rPr>
          <w:rStyle w:val="Normal1"/>
          <w:rFonts w:ascii="Bookman Old Style" w:hAnsi="Bookman Old Style"/>
          <w:sz w:val="22"/>
          <w:u w:val="single"/>
        </w:rPr>
      </w:pPr>
      <w:r w:rsidRPr="00D06DE4">
        <w:rPr>
          <w:rStyle w:val="Normal1"/>
          <w:rFonts w:ascii="Bookman Old Style" w:hAnsi="Bookman Old Style"/>
          <w:sz w:val="22"/>
          <w:u w:val="single"/>
        </w:rPr>
        <w:tab/>
      </w:r>
    </w:p>
    <w:p w14:paraId="3909B17D" w14:textId="77777777" w:rsidR="00743B4B" w:rsidRPr="00D06DE4" w:rsidRDefault="00743B4B" w:rsidP="00743B4B">
      <w:pPr>
        <w:pStyle w:val="Signatureblocks-left"/>
        <w:rPr>
          <w:rStyle w:val="Normal1"/>
          <w:rFonts w:ascii="Bookman Old Style" w:hAnsi="Bookman Old Style"/>
          <w:sz w:val="22"/>
        </w:rPr>
      </w:pPr>
      <w:r w:rsidRPr="00D06DE4">
        <w:rPr>
          <w:rStyle w:val="Normal1"/>
          <w:rFonts w:ascii="Bookman Old Style" w:hAnsi="Bookman Old Style"/>
          <w:sz w:val="22"/>
        </w:rPr>
        <w:t>Attorney”</w:t>
      </w:r>
    </w:p>
    <w:p w14:paraId="43EAE40C" w14:textId="77777777" w:rsidR="00743B4B" w:rsidRPr="00D06DE4" w:rsidRDefault="00743B4B" w:rsidP="00743B4B">
      <w:pPr>
        <w:pStyle w:val="Subdivisionnoindent"/>
        <w:rPr>
          <w:rStyle w:val="Normal1"/>
          <w:rFonts w:ascii="Bookman Old Style" w:hAnsi="Bookman Old Style"/>
          <w:sz w:val="22"/>
        </w:rPr>
      </w:pPr>
      <w:r w:rsidRPr="00D06DE4">
        <w:rPr>
          <w:rStyle w:val="Normal1"/>
          <w:rFonts w:ascii="Bookman Old Style" w:hAnsi="Bookman Old Style"/>
          <w:sz w:val="22"/>
        </w:rPr>
        <w:t>the certificate is taken as prima facie proof of such service in compliance with this rule.</w:t>
      </w:r>
    </w:p>
    <w:p w14:paraId="253B7FD2"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(g)</w:t>
      </w:r>
      <w:r w:rsidRPr="00D06DE4">
        <w:rPr>
          <w:rStyle w:val="Bold"/>
          <w:rFonts w:ascii="Bookman Old Style" w:hAnsi="Bookman Old Style"/>
          <w:sz w:val="22"/>
        </w:rPr>
        <w:tab/>
        <w:t>Service by Clerk.</w:t>
      </w:r>
      <w:r w:rsidRPr="00D06DE4">
        <w:rPr>
          <w:rStyle w:val="Normal1"/>
          <w:rFonts w:ascii="Bookman Old Style" w:hAnsi="Bookman Old Style"/>
          <w:sz w:val="22"/>
        </w:rPr>
        <w:t xml:space="preserve"> When the clerk is required to serve notices and other documents, the clerk may do so by e-mail as provided in subdivision (b)(1) or by any other method permitted under subdivision (b)(2). Service by a clerk is not required to be by e-mail.</w:t>
      </w:r>
    </w:p>
    <w:p w14:paraId="76A35E7F" w14:textId="77777777" w:rsidR="00743B4B" w:rsidRPr="00D06DE4" w:rsidRDefault="00743B4B" w:rsidP="00743B4B">
      <w:pPr>
        <w:pStyle w:val="DefaultParagraph"/>
        <w:rPr>
          <w:rStyle w:val="Bold"/>
          <w:rFonts w:ascii="Bookman Old Style" w:hAnsi="Bookman Old Style"/>
          <w:sz w:val="22"/>
        </w:rPr>
      </w:pPr>
      <w:r w:rsidRPr="00D06DE4">
        <w:rPr>
          <w:rStyle w:val="Bold"/>
          <w:rFonts w:ascii="Bookman Old Style" w:hAnsi="Bookman Old Style"/>
          <w:sz w:val="22"/>
        </w:rPr>
        <w:t>(h)</w:t>
      </w:r>
      <w:r w:rsidRPr="00D06DE4">
        <w:rPr>
          <w:rStyle w:val="Bold"/>
          <w:rFonts w:ascii="Bookman Old Style" w:hAnsi="Bookman Old Style"/>
          <w:sz w:val="22"/>
        </w:rPr>
        <w:tab/>
        <w:t>Service of Orders.</w:t>
      </w:r>
    </w:p>
    <w:p w14:paraId="746D2BB7" w14:textId="77777777" w:rsidR="00743B4B" w:rsidRPr="00D06DE4" w:rsidRDefault="00743B4B" w:rsidP="00743B4B">
      <w:pPr>
        <w:pStyle w:val="Subdivision1"/>
        <w:rPr>
          <w:rStyle w:val="Normal1"/>
          <w:rFonts w:ascii="Bookman Old Style" w:hAnsi="Bookman Old Style"/>
          <w:sz w:val="22"/>
        </w:rPr>
      </w:pPr>
      <w:r w:rsidRPr="00D06DE4">
        <w:rPr>
          <w:rStyle w:val="Normal1"/>
          <w:rFonts w:ascii="Bookman Old Style" w:hAnsi="Bookman Old Style"/>
          <w:sz w:val="22"/>
        </w:rPr>
        <w:t>(1)</w:t>
      </w:r>
      <w:r w:rsidRPr="00D06DE4">
        <w:rPr>
          <w:rStyle w:val="Normal1"/>
          <w:rFonts w:ascii="Bookman Old Style" w:hAnsi="Bookman Old Style"/>
          <w:sz w:val="22"/>
        </w:rPr>
        <w:tab/>
        <w:t>A copy of all orders or judgments must be transmitted by the court or under its direction to all parties at the time of entry of the order or judgment. No service need be made on parties against whom a default has been entered except orders setting an action for trial and final judgments that must be prepared and served as provided in subdivision (h)(2). The court may require that orders or judgments be prepared by a party, may require the party to furnish the court with stamped, addressed envelopes for service of the order or judgment, and may require that proposed orders and judgments be furnished to all parties before entry by the court of the order or judgment. The court may serve any order or judgment by e-mail to all attorneys who have not been excused from e-mail service and to all parties not represented by an attorney who have designated an e-mail address for service.</w:t>
      </w:r>
    </w:p>
    <w:p w14:paraId="1B32F5CE" w14:textId="77777777" w:rsidR="00743B4B" w:rsidRPr="00D06DE4" w:rsidRDefault="00743B4B" w:rsidP="00743B4B">
      <w:pPr>
        <w:pStyle w:val="Subdivision1"/>
        <w:rPr>
          <w:rStyle w:val="Normal1"/>
          <w:rFonts w:ascii="Bookman Old Style" w:hAnsi="Bookman Old Style"/>
          <w:sz w:val="22"/>
        </w:rPr>
      </w:pPr>
      <w:r w:rsidRPr="00D06DE4">
        <w:rPr>
          <w:rStyle w:val="Normal1"/>
          <w:rFonts w:ascii="Bookman Old Style" w:hAnsi="Bookman Old Style"/>
          <w:sz w:val="22"/>
        </w:rPr>
        <w:t>(2)</w:t>
      </w:r>
      <w:r w:rsidRPr="00D06DE4">
        <w:rPr>
          <w:rStyle w:val="Normal1"/>
          <w:rFonts w:ascii="Bookman Old Style" w:hAnsi="Bookman Old Style"/>
          <w:sz w:val="22"/>
        </w:rPr>
        <w:tab/>
        <w:t>When a final judgment is entered against a party in default, the court must mail a conformed copy of it to the party. The party in whose favor the judgment is entered must furnish the court with a copy of the judgment, unless it is prepared by the court, with the address of the party to be served. If the address is unknown, the copy need not be furnished.</w:t>
      </w:r>
    </w:p>
    <w:p w14:paraId="0D0CB016" w14:textId="7C34F284" w:rsidR="00743B4B" w:rsidRDefault="00743B4B" w:rsidP="00743B4B">
      <w:pPr>
        <w:pStyle w:val="Subdivision1"/>
        <w:rPr>
          <w:rStyle w:val="Normal1"/>
          <w:rFonts w:ascii="Bookman Old Style" w:hAnsi="Bookman Old Style"/>
          <w:sz w:val="22"/>
        </w:rPr>
      </w:pPr>
      <w:r w:rsidRPr="00D06DE4">
        <w:rPr>
          <w:rStyle w:val="Normal1"/>
          <w:rFonts w:ascii="Bookman Old Style" w:hAnsi="Bookman Old Style"/>
          <w:sz w:val="22"/>
        </w:rPr>
        <w:t>(3)</w:t>
      </w:r>
      <w:r w:rsidRPr="00D06DE4">
        <w:rPr>
          <w:rStyle w:val="Normal1"/>
          <w:rFonts w:ascii="Bookman Old Style" w:hAnsi="Bookman Old Style"/>
          <w:sz w:val="22"/>
        </w:rPr>
        <w:tab/>
        <w:t>This subdivision is directory and a failure to comply with it does not affect the order or judgment, its finality, or any proceedings arising in the action.</w:t>
      </w:r>
    </w:p>
    <w:p w14:paraId="1648B169" w14:textId="77777777" w:rsidR="00743B4B" w:rsidRDefault="00743B4B">
      <w:pPr>
        <w:rPr>
          <w:rStyle w:val="Normal1"/>
          <w:rFonts w:ascii="Bookman Old Style" w:eastAsia="Calibri" w:hAnsi="Bookman Old Style" w:cs="Times New Roman"/>
        </w:rPr>
      </w:pPr>
      <w:r>
        <w:rPr>
          <w:rStyle w:val="Normal1"/>
          <w:rFonts w:ascii="Bookman Old Style" w:hAnsi="Bookman Old Style"/>
        </w:rPr>
        <w:br w:type="page"/>
      </w:r>
    </w:p>
    <w:p w14:paraId="7DCABB91" w14:textId="77777777" w:rsidR="00743B4B" w:rsidRPr="00D06DE4" w:rsidRDefault="00743B4B" w:rsidP="00743B4B">
      <w:pPr>
        <w:pStyle w:val="RuleTitleHeadings"/>
        <w:rPr>
          <w:rFonts w:ascii="Bookman Old Style" w:hAnsi="Bookman Old Style"/>
          <w:sz w:val="22"/>
          <w:szCs w:val="22"/>
        </w:rPr>
      </w:pPr>
      <w:bookmarkStart w:id="5" w:name="_Toc37252135"/>
      <w:r w:rsidRPr="00D06DE4">
        <w:rPr>
          <w:rFonts w:ascii="Bookman Old Style" w:hAnsi="Bookman Old Style"/>
          <w:sz w:val="22"/>
          <w:szCs w:val="22"/>
        </w:rPr>
        <w:lastRenderedPageBreak/>
        <w:t>RULE 2.505.</w:t>
      </w:r>
      <w:r w:rsidRPr="00D06DE4">
        <w:rPr>
          <w:rFonts w:ascii="Bookman Old Style" w:hAnsi="Bookman Old Style"/>
          <w:sz w:val="22"/>
          <w:szCs w:val="22"/>
        </w:rPr>
        <w:tab/>
        <w:t>ATTORNEYS</w:t>
      </w:r>
      <w:bookmarkEnd w:id="5"/>
    </w:p>
    <w:p w14:paraId="658AB33E"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(a)</w:t>
      </w:r>
      <w:r w:rsidRPr="00D06DE4">
        <w:rPr>
          <w:rStyle w:val="Bold"/>
          <w:rFonts w:ascii="Bookman Old Style" w:hAnsi="Bookman Old Style"/>
          <w:sz w:val="22"/>
        </w:rPr>
        <w:tab/>
        <w:t>Scope and Purpose.</w:t>
      </w:r>
      <w:r w:rsidRPr="00D06DE4">
        <w:rPr>
          <w:rStyle w:val="Normal1"/>
          <w:rFonts w:ascii="Bookman Old Style" w:hAnsi="Bookman Old Style"/>
          <w:sz w:val="22"/>
        </w:rPr>
        <w:t xml:space="preserve"> All persons in good standing as members of The Florida Bar shall be permitted to practice in Florida. Attorneys of other states who are not members of The Florida Bar in good standing shall not engage in the practice of law in Florida except to the extent permitted by rule 2.510.</w:t>
      </w:r>
    </w:p>
    <w:p w14:paraId="150B3E3F"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(b)</w:t>
      </w:r>
      <w:r w:rsidRPr="00D06DE4">
        <w:rPr>
          <w:rStyle w:val="Bold"/>
          <w:rFonts w:ascii="Bookman Old Style" w:hAnsi="Bookman Old Style"/>
          <w:sz w:val="22"/>
        </w:rPr>
        <w:tab/>
        <w:t xml:space="preserve">Persons Employed by the Court. </w:t>
      </w:r>
      <w:r w:rsidRPr="00D06DE4">
        <w:rPr>
          <w:rStyle w:val="Normal1"/>
          <w:rFonts w:ascii="Bookman Old Style" w:hAnsi="Bookman Old Style"/>
          <w:sz w:val="22"/>
        </w:rPr>
        <w:t xml:space="preserve">Except as provided in this subdivision, no full-time employee of the court shall practice as an attorney in any court or before any agency of government while continuing in that position. Any attorney designated by the chief justice or chief judge may represent the court, any court employee in the employee’s official capacity, or any judge in the judge’s official capacity, in any proceeding in which the court, employee, or judge is an interested party. An attorney formerly employed by a court shall not represent anyone in connection with a matter in which the attorney participated personally and substantially while employed by the </w:t>
      </w:r>
      <w:proofErr w:type="gramStart"/>
      <w:r w:rsidRPr="00D06DE4">
        <w:rPr>
          <w:rStyle w:val="Normal1"/>
          <w:rFonts w:ascii="Bookman Old Style" w:hAnsi="Bookman Old Style"/>
          <w:sz w:val="22"/>
        </w:rPr>
        <w:t>court, unless</w:t>
      </w:r>
      <w:proofErr w:type="gramEnd"/>
      <w:r w:rsidRPr="00D06DE4">
        <w:rPr>
          <w:rStyle w:val="Normal1"/>
          <w:rFonts w:ascii="Bookman Old Style" w:hAnsi="Bookman Old Style"/>
          <w:sz w:val="22"/>
        </w:rPr>
        <w:t xml:space="preserve"> all parties to the proceeding consent after disclosure.</w:t>
      </w:r>
    </w:p>
    <w:p w14:paraId="6B5FBFDD"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(c)</w:t>
      </w:r>
      <w:r w:rsidRPr="00D06DE4">
        <w:rPr>
          <w:rStyle w:val="Bold"/>
          <w:rFonts w:ascii="Bookman Old Style" w:hAnsi="Bookman Old Style"/>
          <w:sz w:val="22"/>
        </w:rPr>
        <w:tab/>
        <w:t>Attorney Not to Be Surety.</w:t>
      </w:r>
      <w:r w:rsidRPr="00D06DE4">
        <w:rPr>
          <w:rStyle w:val="Normal1"/>
          <w:rFonts w:ascii="Bookman Old Style" w:hAnsi="Bookman Old Style"/>
          <w:sz w:val="22"/>
        </w:rPr>
        <w:t xml:space="preserve"> No attorneys or other officers of court shall enter themselves or be taken as bail or surety in any proceeding in court.</w:t>
      </w:r>
    </w:p>
    <w:p w14:paraId="53507E57"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(d)</w:t>
      </w:r>
      <w:r w:rsidRPr="00D06DE4">
        <w:rPr>
          <w:rStyle w:val="Bold"/>
          <w:rFonts w:ascii="Bookman Old Style" w:hAnsi="Bookman Old Style"/>
          <w:sz w:val="22"/>
        </w:rPr>
        <w:tab/>
        <w:t>Stipulations.</w:t>
      </w:r>
      <w:r w:rsidRPr="00D06DE4">
        <w:rPr>
          <w:rStyle w:val="Normal1"/>
          <w:rFonts w:ascii="Bookman Old Style" w:hAnsi="Bookman Old Style"/>
          <w:sz w:val="22"/>
        </w:rPr>
        <w:t xml:space="preserve"> No private agreement or consent between parties or their attorneys concerning the practice or procedure in an action shall be of any force unless the evidence of it is in writing, subscribed by the party or the party’s attorney against whom it is alleged. </w:t>
      </w:r>
      <w:proofErr w:type="spellStart"/>
      <w:r w:rsidRPr="00D06DE4">
        <w:rPr>
          <w:rStyle w:val="Normal1"/>
          <w:rFonts w:ascii="Bookman Old Style" w:hAnsi="Bookman Old Style"/>
          <w:sz w:val="22"/>
        </w:rPr>
        <w:t>Parol</w:t>
      </w:r>
      <w:proofErr w:type="spellEnd"/>
      <w:r w:rsidRPr="00D06DE4">
        <w:rPr>
          <w:rStyle w:val="Normal1"/>
          <w:rFonts w:ascii="Bookman Old Style" w:hAnsi="Bookman Old Style"/>
          <w:sz w:val="22"/>
        </w:rPr>
        <w:t xml:space="preserve"> agreements may be made before the court if promptly made a part of the record or incorporated in the stenographic notes of the proceedings, and agreements made at depositions that are incorporated in the transcript need not be signed when signing of the deposition is waived. This rule shall not apply to settlements or other substantive agreements.</w:t>
      </w:r>
    </w:p>
    <w:p w14:paraId="520BAF96"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(e)</w:t>
      </w:r>
      <w:r w:rsidRPr="00D06DE4">
        <w:rPr>
          <w:rStyle w:val="Bold"/>
          <w:rFonts w:ascii="Bookman Old Style" w:hAnsi="Bookman Old Style"/>
          <w:sz w:val="22"/>
        </w:rPr>
        <w:tab/>
        <w:t>Appearance of Attorney.</w:t>
      </w:r>
      <w:r w:rsidRPr="00D06DE4">
        <w:rPr>
          <w:rStyle w:val="Normal1"/>
          <w:rFonts w:ascii="Bookman Old Style" w:hAnsi="Bookman Old Style"/>
          <w:sz w:val="22"/>
        </w:rPr>
        <w:t xml:space="preserve"> An attorney may appear for a party in an action or proceeding in any of the following ways:</w:t>
      </w:r>
    </w:p>
    <w:p w14:paraId="255C017C"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(1)</w:t>
      </w:r>
      <w:r w:rsidRPr="00D06DE4">
        <w:rPr>
          <w:rStyle w:val="Bold"/>
          <w:rFonts w:ascii="Bookman Old Style" w:hAnsi="Bookman Old Style"/>
          <w:sz w:val="22"/>
        </w:rPr>
        <w:tab/>
        <w:t xml:space="preserve">First Pleading or Document. </w:t>
      </w:r>
      <w:r w:rsidRPr="00D06DE4">
        <w:rPr>
          <w:rStyle w:val="Normal1"/>
          <w:rFonts w:ascii="Bookman Old Style" w:hAnsi="Bookman Old Style"/>
          <w:sz w:val="22"/>
        </w:rPr>
        <w:t>Signing the first pleading or other document filed on behalf of a party.</w:t>
      </w:r>
    </w:p>
    <w:p w14:paraId="55B1AC6A"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(2)</w:t>
      </w:r>
      <w:r w:rsidRPr="00D06DE4">
        <w:rPr>
          <w:rStyle w:val="Bold"/>
          <w:rFonts w:ascii="Bookman Old Style" w:hAnsi="Bookman Old Style"/>
          <w:sz w:val="22"/>
        </w:rPr>
        <w:tab/>
        <w:t xml:space="preserve">Notice of Appearance. </w:t>
      </w:r>
      <w:r w:rsidRPr="00D06DE4">
        <w:rPr>
          <w:rStyle w:val="Normal1"/>
          <w:rFonts w:ascii="Bookman Old Style" w:hAnsi="Bookman Old Style"/>
          <w:sz w:val="22"/>
        </w:rPr>
        <w:t>Filing a notice of appearance on behalf of a party.</w:t>
      </w:r>
    </w:p>
    <w:p w14:paraId="1C304B75"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(3)</w:t>
      </w:r>
      <w:r w:rsidRPr="00D06DE4">
        <w:rPr>
          <w:rStyle w:val="Bold"/>
          <w:rFonts w:ascii="Bookman Old Style" w:hAnsi="Bookman Old Style"/>
          <w:sz w:val="22"/>
        </w:rPr>
        <w:tab/>
        <w:t xml:space="preserve">Order on Substitution of Counsel. </w:t>
      </w:r>
      <w:r w:rsidRPr="00D06DE4">
        <w:rPr>
          <w:rStyle w:val="Normal1"/>
          <w:rFonts w:ascii="Bookman Old Style" w:hAnsi="Bookman Old Style"/>
          <w:sz w:val="22"/>
        </w:rPr>
        <w:t>Filing of a written order by the court, that reflects written consent of the client. The court may condition substitution of counsel upon payment of or grant of security for the substituted attorney’s fees and expenses or upon such other terms as may be just.</w:t>
      </w:r>
    </w:p>
    <w:p w14:paraId="03CB7F08"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(4)</w:t>
      </w:r>
      <w:r w:rsidRPr="00D06DE4">
        <w:rPr>
          <w:rStyle w:val="Bold"/>
          <w:rFonts w:ascii="Bookman Old Style" w:hAnsi="Bookman Old Style"/>
          <w:sz w:val="22"/>
        </w:rPr>
        <w:tab/>
        <w:t xml:space="preserve">Notice of Substitution of Counsel. </w:t>
      </w:r>
      <w:r w:rsidRPr="00D06DE4">
        <w:rPr>
          <w:rStyle w:val="Normal1"/>
          <w:rFonts w:ascii="Bookman Old Style" w:hAnsi="Bookman Old Style"/>
          <w:sz w:val="22"/>
        </w:rPr>
        <w:t>Filing a notice of substitution of counsel when the substituting attorney is from the same law firm, company, or governmental agency as the replaced attorney.</w:t>
      </w:r>
    </w:p>
    <w:p w14:paraId="30D4F9E0"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lastRenderedPageBreak/>
        <w:t>(5)</w:t>
      </w:r>
      <w:r w:rsidRPr="00D06DE4">
        <w:rPr>
          <w:rStyle w:val="Bold"/>
          <w:rFonts w:ascii="Bookman Old Style" w:hAnsi="Bookman Old Style"/>
          <w:sz w:val="22"/>
        </w:rPr>
        <w:tab/>
        <w:t>Notice of Limited Appearance.</w:t>
      </w:r>
      <w:r w:rsidRPr="00D06DE4">
        <w:rPr>
          <w:rStyle w:val="Normal1"/>
          <w:rFonts w:ascii="Bookman Old Style" w:hAnsi="Bookman Old Style"/>
          <w:sz w:val="22"/>
        </w:rPr>
        <w:t xml:space="preserve"> Filing a notice of limited appearance as permitted by another rule of court.</w:t>
      </w:r>
    </w:p>
    <w:p w14:paraId="7582C10A"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(6)</w:t>
      </w:r>
      <w:r w:rsidRPr="00D06DE4">
        <w:rPr>
          <w:rStyle w:val="Bold"/>
          <w:rFonts w:ascii="Bookman Old Style" w:hAnsi="Bookman Old Style"/>
          <w:sz w:val="22"/>
        </w:rPr>
        <w:tab/>
        <w:t>Appearance as Stand-In Counsel.</w:t>
      </w:r>
      <w:r w:rsidRPr="00D06DE4">
        <w:rPr>
          <w:rStyle w:val="Normal1"/>
          <w:rFonts w:ascii="Bookman Old Style" w:hAnsi="Bookman Old Style"/>
          <w:sz w:val="22"/>
        </w:rPr>
        <w:t xml:space="preserve"> Appearing as stand-in counsel pursuant to subdivision (g).</w:t>
      </w:r>
    </w:p>
    <w:p w14:paraId="3434A574"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(f)</w:t>
      </w:r>
      <w:r w:rsidRPr="00D06DE4">
        <w:rPr>
          <w:rStyle w:val="Bold"/>
          <w:rFonts w:ascii="Bookman Old Style" w:hAnsi="Bookman Old Style"/>
          <w:sz w:val="22"/>
        </w:rPr>
        <w:tab/>
        <w:t>Termination of Appearance of Attorney.</w:t>
      </w:r>
      <w:r w:rsidRPr="00D06DE4">
        <w:rPr>
          <w:rStyle w:val="Normal1"/>
          <w:rFonts w:ascii="Bookman Old Style" w:hAnsi="Bookman Old Style"/>
          <w:sz w:val="22"/>
        </w:rPr>
        <w:t xml:space="preserve"> An appearance of an attorney for a party in an action or proceeding shall terminate only upon:</w:t>
      </w:r>
    </w:p>
    <w:p w14:paraId="62BC20B1"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(1)</w:t>
      </w:r>
      <w:r w:rsidRPr="00D06DE4">
        <w:rPr>
          <w:rStyle w:val="Bold"/>
          <w:rFonts w:ascii="Bookman Old Style" w:hAnsi="Bookman Old Style"/>
          <w:sz w:val="22"/>
        </w:rPr>
        <w:tab/>
        <w:t>Withdrawal of Attorney.</w:t>
      </w:r>
      <w:r w:rsidRPr="00D06DE4">
        <w:rPr>
          <w:rStyle w:val="Normal1"/>
          <w:rFonts w:ascii="Bookman Old Style" w:hAnsi="Bookman Old Style"/>
          <w:sz w:val="22"/>
        </w:rPr>
        <w:t xml:space="preserve"> A written order of the court after hearing upon a motion setting forth reasons for withdrawal and the client’s last known address, telephone number, and e-mail address.</w:t>
      </w:r>
    </w:p>
    <w:p w14:paraId="663F0010"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(2)</w:t>
      </w:r>
      <w:r w:rsidRPr="00D06DE4">
        <w:rPr>
          <w:rStyle w:val="Bold"/>
          <w:rFonts w:ascii="Bookman Old Style" w:hAnsi="Bookman Old Style"/>
          <w:sz w:val="22"/>
        </w:rPr>
        <w:tab/>
        <w:t>Substitution of Attorney.</w:t>
      </w:r>
      <w:r w:rsidRPr="00D06DE4">
        <w:rPr>
          <w:rStyle w:val="Normal1"/>
          <w:rFonts w:ascii="Bookman Old Style" w:hAnsi="Bookman Old Style"/>
          <w:sz w:val="22"/>
        </w:rPr>
        <w:t xml:space="preserve"> Substitution of counsel pursuant to subdivision (e)(3) or (e)(4).</w:t>
      </w:r>
    </w:p>
    <w:p w14:paraId="19F256E2"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(3)</w:t>
      </w:r>
      <w:r w:rsidRPr="00D06DE4">
        <w:rPr>
          <w:rStyle w:val="Bold"/>
          <w:rFonts w:ascii="Bookman Old Style" w:hAnsi="Bookman Old Style"/>
          <w:sz w:val="22"/>
        </w:rPr>
        <w:tab/>
        <w:t>Termination of Proceeding.</w:t>
      </w:r>
      <w:r w:rsidRPr="00D06DE4">
        <w:rPr>
          <w:rStyle w:val="Normal1"/>
          <w:rFonts w:ascii="Bookman Old Style" w:hAnsi="Bookman Old Style"/>
          <w:sz w:val="22"/>
        </w:rPr>
        <w:t xml:space="preserve"> Termination of an action </w:t>
      </w:r>
      <w:proofErr w:type="gramStart"/>
      <w:r w:rsidRPr="00D06DE4">
        <w:rPr>
          <w:rStyle w:val="Normal1"/>
          <w:rFonts w:ascii="Bookman Old Style" w:hAnsi="Bookman Old Style"/>
          <w:sz w:val="22"/>
        </w:rPr>
        <w:t>or  proceeding</w:t>
      </w:r>
      <w:proofErr w:type="gramEnd"/>
      <w:r w:rsidRPr="00D06DE4">
        <w:rPr>
          <w:rStyle w:val="Normal1"/>
          <w:rFonts w:ascii="Bookman Old Style" w:hAnsi="Bookman Old Style"/>
          <w:sz w:val="22"/>
        </w:rPr>
        <w:t xml:space="preserve"> and expiration of any applicable time for appeal when no appeal is taken, without any further action of the court unless otherwise required by another rule of court.</w:t>
      </w:r>
    </w:p>
    <w:p w14:paraId="00FBD341"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(4)</w:t>
      </w:r>
      <w:r w:rsidRPr="00D06DE4">
        <w:rPr>
          <w:rStyle w:val="Bold"/>
          <w:rFonts w:ascii="Bookman Old Style" w:hAnsi="Bookman Old Style"/>
          <w:sz w:val="22"/>
        </w:rPr>
        <w:tab/>
        <w:t>Termination of Post-Judgment Appearances.</w:t>
      </w:r>
    </w:p>
    <w:p w14:paraId="57E40C19"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(A)</w:t>
      </w:r>
      <w:r w:rsidRPr="00D06DE4">
        <w:rPr>
          <w:rStyle w:val="Normal1"/>
          <w:rFonts w:ascii="Bookman Old Style" w:hAnsi="Bookman Old Style"/>
          <w:sz w:val="22"/>
        </w:rPr>
        <w:tab/>
        <w:t>In non-criminal matters in which an attorney has appeared after entry of judgment, filing of a notice of termination of appearance.</w:t>
      </w:r>
    </w:p>
    <w:p w14:paraId="62B110B8" w14:textId="77777777" w:rsidR="00743B4B" w:rsidRPr="00D06DE4" w:rsidRDefault="00743B4B" w:rsidP="00743B4B">
      <w:pPr>
        <w:pStyle w:val="SubdivisionA0"/>
        <w:rPr>
          <w:rStyle w:val="Normal1"/>
          <w:rFonts w:ascii="Bookman Old Style" w:hAnsi="Bookman Old Style"/>
          <w:sz w:val="22"/>
        </w:rPr>
      </w:pPr>
      <w:r w:rsidRPr="00D06DE4">
        <w:rPr>
          <w:rStyle w:val="Normal1"/>
          <w:rFonts w:ascii="Bookman Old Style" w:hAnsi="Bookman Old Style"/>
          <w:sz w:val="22"/>
        </w:rPr>
        <w:t>(B)</w:t>
      </w:r>
      <w:r w:rsidRPr="00D06DE4">
        <w:rPr>
          <w:rStyle w:val="Normal1"/>
          <w:rFonts w:ascii="Bookman Old Style" w:hAnsi="Bookman Old Style"/>
          <w:sz w:val="22"/>
        </w:rPr>
        <w:tab/>
        <w:t>In matters governed by the rules of criminal or juvenile procedure in which an attorney has appeared after entry of a judgment, entry of a written order of the court after hearing upon a motion setting forth the reasons for withdrawal.</w:t>
      </w:r>
    </w:p>
    <w:p w14:paraId="3DDB4EE4"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(5)</w:t>
      </w:r>
      <w:r w:rsidRPr="00D06DE4">
        <w:rPr>
          <w:rStyle w:val="Bold"/>
          <w:rFonts w:ascii="Bookman Old Style" w:hAnsi="Bookman Old Style"/>
          <w:sz w:val="22"/>
        </w:rPr>
        <w:tab/>
        <w:t>Termination of Limited Appearance.</w:t>
      </w:r>
      <w:r w:rsidRPr="00D06DE4">
        <w:rPr>
          <w:rStyle w:val="Normal1"/>
          <w:rFonts w:ascii="Bookman Old Style" w:hAnsi="Bookman Old Style"/>
          <w:sz w:val="22"/>
        </w:rPr>
        <w:t xml:space="preserve"> Filing a notice of termination of limited appearance in an action or proceeding in which an attorney has filed a notice of limited appearance pursuant to subdivision (e)(5).</w:t>
      </w:r>
    </w:p>
    <w:p w14:paraId="216E57D2" w14:textId="77777777" w:rsidR="00743B4B" w:rsidRPr="00D06DE4" w:rsidRDefault="00743B4B" w:rsidP="00743B4B">
      <w:pPr>
        <w:pStyle w:val="Subdivision1"/>
        <w:rPr>
          <w:rStyle w:val="Normal1"/>
          <w:rFonts w:ascii="Bookman Old Style" w:hAnsi="Bookman Old Style"/>
          <w:sz w:val="22"/>
        </w:rPr>
      </w:pPr>
      <w:r w:rsidRPr="00D06DE4">
        <w:rPr>
          <w:rStyle w:val="Bold"/>
          <w:rFonts w:ascii="Bookman Old Style" w:hAnsi="Bookman Old Style"/>
          <w:sz w:val="22"/>
        </w:rPr>
        <w:t>(6)</w:t>
      </w:r>
      <w:r w:rsidRPr="00D06DE4">
        <w:rPr>
          <w:rStyle w:val="Bold"/>
          <w:rFonts w:ascii="Bookman Old Style" w:hAnsi="Bookman Old Style"/>
          <w:sz w:val="22"/>
        </w:rPr>
        <w:tab/>
        <w:t xml:space="preserve">Termination of Hearing. </w:t>
      </w:r>
      <w:r w:rsidRPr="00D06DE4">
        <w:rPr>
          <w:rStyle w:val="Normal1"/>
          <w:rFonts w:ascii="Bookman Old Style" w:hAnsi="Bookman Old Style"/>
          <w:sz w:val="22"/>
        </w:rPr>
        <w:t>Conclusion of a hearing or proceeding in which an attorney has appeared as stand-in counsel pursuant to subdivision (g).</w:t>
      </w:r>
    </w:p>
    <w:p w14:paraId="212BE8B6"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(g)</w:t>
      </w:r>
      <w:r w:rsidRPr="00D06DE4">
        <w:rPr>
          <w:rStyle w:val="Bold"/>
          <w:rFonts w:ascii="Bookman Old Style" w:hAnsi="Bookman Old Style"/>
          <w:sz w:val="22"/>
        </w:rPr>
        <w:tab/>
        <w:t>Stand-In Counsel.</w:t>
      </w:r>
      <w:r w:rsidRPr="00D06DE4">
        <w:rPr>
          <w:rStyle w:val="Normal1"/>
          <w:rFonts w:ascii="Bookman Old Style" w:hAnsi="Bookman Old Style"/>
          <w:sz w:val="22"/>
        </w:rPr>
        <w:t xml:space="preserve"> An attorney may stand in for another attorney to cover a proceeding or hearing only if a notice of stand-in counsel is filed or the appearance of stand-in counsel is reflected on a record maintained by the court or by the clerk of court. A stand-in attorney from the same law firm, company, or governmental agency as an attorney of record is not required to file a notice of stand-in counsel. </w:t>
      </w:r>
    </w:p>
    <w:p w14:paraId="2C8B444B"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t>(h)</w:t>
      </w:r>
      <w:r w:rsidRPr="00D06DE4">
        <w:rPr>
          <w:rStyle w:val="Bold"/>
          <w:rFonts w:ascii="Bookman Old Style" w:hAnsi="Bookman Old Style"/>
          <w:sz w:val="22"/>
        </w:rPr>
        <w:tab/>
        <w:t xml:space="preserve">Attorney as Agent of Client. </w:t>
      </w:r>
      <w:r w:rsidRPr="00D06DE4">
        <w:rPr>
          <w:rStyle w:val="Normal1"/>
          <w:rFonts w:ascii="Bookman Old Style" w:hAnsi="Bookman Old Style"/>
          <w:sz w:val="22"/>
        </w:rPr>
        <w:t>An attorney appearing in an action or proceeding pursuant to subdivisions (e)(1)</w:t>
      </w:r>
      <w:r w:rsidRPr="00D06DE4">
        <w:rPr>
          <w:rStyle w:val="Normal1"/>
          <w:rFonts w:ascii="Bookman Old Style" w:hAnsi="Bookman Old Style" w:cs="Arial"/>
          <w:sz w:val="22"/>
        </w:rPr>
        <w:t>–</w:t>
      </w:r>
      <w:r w:rsidRPr="00D06DE4">
        <w:rPr>
          <w:rStyle w:val="Normal1"/>
          <w:rFonts w:ascii="Bookman Old Style" w:hAnsi="Bookman Old Style"/>
          <w:sz w:val="22"/>
        </w:rPr>
        <w:t>(e)(6) is the agent authorized to bind the client for purposes of the action, hearing, or proceeding.</w:t>
      </w:r>
    </w:p>
    <w:p w14:paraId="75C7B13B" w14:textId="77777777" w:rsidR="00743B4B" w:rsidRPr="00D06DE4" w:rsidRDefault="00743B4B" w:rsidP="00743B4B">
      <w:pPr>
        <w:pStyle w:val="DefaultParagraph"/>
        <w:rPr>
          <w:rStyle w:val="Normal1"/>
          <w:rFonts w:ascii="Bookman Old Style" w:hAnsi="Bookman Old Style"/>
          <w:sz w:val="22"/>
        </w:rPr>
      </w:pPr>
      <w:r w:rsidRPr="00D06DE4">
        <w:rPr>
          <w:rStyle w:val="Bold"/>
          <w:rFonts w:ascii="Bookman Old Style" w:hAnsi="Bookman Old Style"/>
          <w:sz w:val="22"/>
        </w:rPr>
        <w:lastRenderedPageBreak/>
        <w:t>(i)</w:t>
      </w:r>
      <w:r w:rsidRPr="00D06DE4">
        <w:rPr>
          <w:rStyle w:val="Bold"/>
          <w:rFonts w:ascii="Bookman Old Style" w:hAnsi="Bookman Old Style"/>
          <w:sz w:val="22"/>
        </w:rPr>
        <w:tab/>
        <w:t>Attorney of Record.</w:t>
      </w:r>
      <w:r w:rsidRPr="00D06DE4">
        <w:rPr>
          <w:rStyle w:val="Normal1"/>
          <w:rFonts w:ascii="Bookman Old Style" w:hAnsi="Bookman Old Style"/>
          <w:sz w:val="22"/>
        </w:rPr>
        <w:t xml:space="preserve"> An attorney appearing in an action or proceeding pursuant to subdivisions (e)(1)</w:t>
      </w:r>
      <w:r w:rsidRPr="00D06DE4">
        <w:rPr>
          <w:rStyle w:val="Normal1"/>
          <w:rFonts w:ascii="Bookman Old Style" w:hAnsi="Bookman Old Style" w:cs="Arial"/>
          <w:sz w:val="22"/>
        </w:rPr>
        <w:t>–</w:t>
      </w:r>
      <w:r w:rsidRPr="00D06DE4">
        <w:rPr>
          <w:rStyle w:val="Normal1"/>
          <w:rFonts w:ascii="Bookman Old Style" w:hAnsi="Bookman Old Style"/>
          <w:sz w:val="22"/>
        </w:rPr>
        <w:t>(e)(5) is an attorney of record for the party for the matters specified.</w:t>
      </w:r>
    </w:p>
    <w:p w14:paraId="08E72949" w14:textId="77777777" w:rsidR="00743B4B" w:rsidRPr="00D06DE4" w:rsidRDefault="00743B4B" w:rsidP="00743B4B">
      <w:pPr>
        <w:pStyle w:val="DefaultParagraph"/>
        <w:rPr>
          <w:rStyle w:val="Bold"/>
          <w:rFonts w:ascii="Bookman Old Style" w:hAnsi="Bookman Old Style"/>
          <w:sz w:val="22"/>
        </w:rPr>
      </w:pPr>
      <w:r w:rsidRPr="00D06DE4">
        <w:rPr>
          <w:rStyle w:val="Bold"/>
          <w:rFonts w:ascii="Bookman Old Style" w:hAnsi="Bookman Old Style"/>
          <w:sz w:val="22"/>
        </w:rPr>
        <w:t>(j)</w:t>
      </w:r>
      <w:r w:rsidRPr="00D06DE4">
        <w:rPr>
          <w:rStyle w:val="Bold"/>
          <w:rFonts w:ascii="Bookman Old Style" w:hAnsi="Bookman Old Style"/>
          <w:sz w:val="22"/>
        </w:rPr>
        <w:tab/>
        <w:t>Law Student and Certified Legal Intern Participation.</w:t>
      </w:r>
      <w:r w:rsidRPr="00D06DE4">
        <w:rPr>
          <w:rStyle w:val="Normal1"/>
          <w:rFonts w:ascii="Bookman Old Style" w:hAnsi="Bookman Old Style"/>
          <w:sz w:val="22"/>
        </w:rPr>
        <w:t xml:space="preserve"> Eligible law students shall be permitted to participate as provided under the conditions of chapter 11 of the Rules Regulating </w:t>
      </w:r>
      <w:proofErr w:type="gramStart"/>
      <w:r w:rsidRPr="00D06DE4">
        <w:rPr>
          <w:rStyle w:val="Normal1"/>
          <w:rFonts w:ascii="Bookman Old Style" w:hAnsi="Bookman Old Style"/>
          <w:sz w:val="22"/>
        </w:rPr>
        <w:t>The</w:t>
      </w:r>
      <w:proofErr w:type="gramEnd"/>
      <w:r w:rsidRPr="00D06DE4">
        <w:rPr>
          <w:rStyle w:val="Normal1"/>
          <w:rFonts w:ascii="Bookman Old Style" w:hAnsi="Bookman Old Style"/>
          <w:sz w:val="22"/>
        </w:rPr>
        <w:t xml:space="preserve"> Florida Bar as amended from time to time.</w:t>
      </w:r>
    </w:p>
    <w:p w14:paraId="27278AF2" w14:textId="77777777" w:rsidR="00743B4B" w:rsidRPr="00D06DE4" w:rsidRDefault="00743B4B" w:rsidP="00743B4B">
      <w:pPr>
        <w:pStyle w:val="CommitteeNotes"/>
        <w:rPr>
          <w:rFonts w:ascii="Bookman Old Style" w:hAnsi="Bookman Old Style"/>
          <w:sz w:val="22"/>
        </w:rPr>
      </w:pPr>
      <w:r w:rsidRPr="00D06DE4">
        <w:rPr>
          <w:rFonts w:ascii="Bookman Old Style" w:hAnsi="Bookman Old Style"/>
          <w:sz w:val="22"/>
        </w:rPr>
        <w:t>Court Commentary</w:t>
      </w:r>
    </w:p>
    <w:p w14:paraId="330A2CF2" w14:textId="77777777" w:rsidR="00743B4B" w:rsidRPr="00D06DE4" w:rsidRDefault="00743B4B" w:rsidP="00743B4B">
      <w:pPr>
        <w:pStyle w:val="LPNotetext"/>
        <w:rPr>
          <w:rStyle w:val="Normal1"/>
          <w:rFonts w:ascii="Bookman Old Style" w:hAnsi="Bookman Old Style"/>
          <w:sz w:val="22"/>
          <w:szCs w:val="22"/>
        </w:rPr>
      </w:pPr>
      <w:r w:rsidRPr="00D06DE4">
        <w:rPr>
          <w:rStyle w:val="Bold"/>
          <w:rFonts w:ascii="Bookman Old Style" w:hAnsi="Bookman Old Style"/>
          <w:sz w:val="22"/>
          <w:szCs w:val="22"/>
        </w:rPr>
        <w:t>1997 Amendment.</w:t>
      </w:r>
      <w:r w:rsidRPr="00D06DE4">
        <w:rPr>
          <w:rStyle w:val="Normal1"/>
          <w:rFonts w:ascii="Bookman Old Style" w:hAnsi="Bookman Old Style"/>
          <w:sz w:val="22"/>
          <w:szCs w:val="22"/>
        </w:rPr>
        <w:t xml:space="preserve"> Originally, the rule provided that the follow-up filing had to occur within ten days. In the 1997 amendment to the rule, that requirement was modified to provide that the follow-up filing must occur “immediately” after a document is electronically filed. The “immediately thereafter” language is consistent with language used in the rules of procedure where, in a somewhat analogous situation, the filing of a document may occur after service. </w:t>
      </w:r>
      <w:r w:rsidRPr="00D06DE4">
        <w:rPr>
          <w:rStyle w:val="Italic"/>
          <w:rFonts w:ascii="Bookman Old Style" w:hAnsi="Bookman Old Style"/>
          <w:sz w:val="22"/>
          <w:szCs w:val="22"/>
        </w:rPr>
        <w:t>See, e.g.</w:t>
      </w:r>
      <w:r w:rsidRPr="00D06DE4">
        <w:rPr>
          <w:rStyle w:val="Normal1"/>
          <w:rFonts w:ascii="Bookman Old Style" w:hAnsi="Bookman Old Style"/>
          <w:sz w:val="22"/>
          <w:szCs w:val="22"/>
        </w:rPr>
        <w:t xml:space="preserve">, Florida Rule of Civil Procedure 1.080(d) (“All original papers shall be filed with the court either before service or </w:t>
      </w:r>
      <w:r w:rsidRPr="00D06DE4">
        <w:rPr>
          <w:rStyle w:val="Italic"/>
          <w:rFonts w:ascii="Bookman Old Style" w:hAnsi="Bookman Old Style"/>
          <w:sz w:val="22"/>
          <w:szCs w:val="22"/>
        </w:rPr>
        <w:t>immediately thereafter</w:t>
      </w:r>
      <w:r w:rsidRPr="00D06DE4">
        <w:rPr>
          <w:rStyle w:val="Normal1"/>
          <w:rFonts w:ascii="Bookman Old Style" w:hAnsi="Bookman Old Style"/>
          <w:sz w:val="22"/>
          <w:szCs w:val="22"/>
        </w:rPr>
        <w:t xml:space="preserve">.”) (emphasis added). “Immediately thereafter” has been interpreted to mean “filed with reasonable promptness.” </w:t>
      </w:r>
      <w:r w:rsidRPr="00D06DE4">
        <w:rPr>
          <w:rStyle w:val="Italic"/>
          <w:rFonts w:ascii="Bookman Old Style" w:hAnsi="Bookman Old Style"/>
          <w:sz w:val="22"/>
          <w:szCs w:val="22"/>
        </w:rPr>
        <w:t>Miami Transit Co. v. Ford</w:t>
      </w:r>
      <w:r w:rsidRPr="00D06DE4">
        <w:rPr>
          <w:rStyle w:val="Normal1"/>
          <w:rFonts w:ascii="Bookman Old Style" w:hAnsi="Bookman Old Style"/>
          <w:sz w:val="22"/>
          <w:szCs w:val="22"/>
        </w:rPr>
        <w:t>, 155 So. 2d 360 (Fla. 1963).</w:t>
      </w:r>
    </w:p>
    <w:p w14:paraId="286B213F" w14:textId="77777777" w:rsidR="00743B4B" w:rsidRPr="00D06DE4" w:rsidRDefault="00743B4B" w:rsidP="00743B4B">
      <w:pPr>
        <w:pStyle w:val="LPNotetext"/>
        <w:rPr>
          <w:rStyle w:val="Normal1"/>
          <w:rFonts w:ascii="Bookman Old Style" w:hAnsi="Bookman Old Style"/>
          <w:sz w:val="22"/>
          <w:szCs w:val="22"/>
        </w:rPr>
      </w:pPr>
      <w:r w:rsidRPr="00D06DE4">
        <w:rPr>
          <w:rStyle w:val="Normal1"/>
          <w:rFonts w:ascii="Bookman Old Style" w:hAnsi="Bookman Old Style"/>
          <w:sz w:val="22"/>
          <w:szCs w:val="22"/>
        </w:rPr>
        <w:t>The use of the words “other person” in this rule is not meant to allow a nonlawyer to sign and file pleadings or other papers on behalf of another. Such conduct would constitute the unauthorized practice of law.</w:t>
      </w:r>
    </w:p>
    <w:p w14:paraId="30E745DB" w14:textId="77777777" w:rsidR="00743B4B" w:rsidRPr="00D06DE4" w:rsidRDefault="00743B4B" w:rsidP="00743B4B">
      <w:pPr>
        <w:pStyle w:val="LPNotetext"/>
        <w:rPr>
          <w:rStyle w:val="Normal1"/>
          <w:rFonts w:ascii="Bookman Old Style" w:hAnsi="Bookman Old Style"/>
          <w:sz w:val="22"/>
          <w:szCs w:val="22"/>
        </w:rPr>
      </w:pPr>
      <w:r w:rsidRPr="00D06DE4">
        <w:rPr>
          <w:rStyle w:val="Bold"/>
          <w:rFonts w:ascii="Bookman Old Style" w:hAnsi="Bookman Old Style"/>
          <w:sz w:val="22"/>
          <w:szCs w:val="22"/>
        </w:rPr>
        <w:t>2003 Amendment.</w:t>
      </w:r>
      <w:r w:rsidRPr="00D06DE4">
        <w:rPr>
          <w:rStyle w:val="Normal1"/>
          <w:rFonts w:ascii="Bookman Old Style" w:hAnsi="Bookman Old Style"/>
          <w:sz w:val="22"/>
          <w:szCs w:val="22"/>
        </w:rPr>
        <w:t xml:space="preserve"> Rule Regulating the Florida Bar 4-1.12(c), which addresses the imputed disqualification of a law firm, should be looked to in conjunction with the rule 2.060(b) [renumbered as 2.505(b) in 2006] restriction on representation by a former judicial staff attorney or law clerk.</w:t>
      </w:r>
    </w:p>
    <w:p w14:paraId="4CD400F1" w14:textId="35897C41" w:rsidR="00743B4B" w:rsidRDefault="00743B4B">
      <w:pPr>
        <w:rPr>
          <w:rStyle w:val="Normal1"/>
          <w:rFonts w:ascii="Bookman Old Style" w:eastAsia="Calibri" w:hAnsi="Bookman Old Style" w:cs="Times New Roman"/>
        </w:rPr>
      </w:pPr>
      <w:r>
        <w:rPr>
          <w:rStyle w:val="Normal1"/>
          <w:rFonts w:ascii="Bookman Old Style" w:hAnsi="Bookman Old Style"/>
        </w:rPr>
        <w:br w:type="page"/>
      </w:r>
    </w:p>
    <w:p w14:paraId="42369CF7" w14:textId="77777777" w:rsidR="00743B4B" w:rsidRPr="00743B4B" w:rsidRDefault="00743B4B" w:rsidP="00743B4B">
      <w:pPr>
        <w:pStyle w:val="RulesTitle"/>
        <w:rPr>
          <w:rFonts w:ascii="Bookman Old Style" w:hAnsi="Bookman Old Style" w:cs="Arial"/>
          <w:sz w:val="22"/>
          <w:szCs w:val="22"/>
        </w:rPr>
      </w:pPr>
      <w:bookmarkStart w:id="6" w:name="_Toc521401548"/>
      <w:r w:rsidRPr="00743B4B">
        <w:rPr>
          <w:rFonts w:ascii="Bookman Old Style" w:hAnsi="Bookman Old Style" w:cs="Arial"/>
          <w:sz w:val="22"/>
          <w:szCs w:val="22"/>
        </w:rPr>
        <w:lastRenderedPageBreak/>
        <w:t>RULE 12.080.</w:t>
      </w:r>
      <w:r w:rsidRPr="00743B4B">
        <w:rPr>
          <w:rFonts w:ascii="Bookman Old Style" w:hAnsi="Bookman Old Style" w:cs="Arial"/>
          <w:sz w:val="22"/>
          <w:szCs w:val="22"/>
        </w:rPr>
        <w:tab/>
        <w:t>SERVICE OF PLEADINGS AND FILING OF DOCUMENTS</w:t>
      </w:r>
      <w:bookmarkEnd w:id="6"/>
    </w:p>
    <w:p w14:paraId="443082FA" w14:textId="77777777" w:rsidR="00743B4B" w:rsidRPr="00743B4B" w:rsidRDefault="00743B4B" w:rsidP="00743B4B">
      <w:pPr>
        <w:pStyle w:val="RulesText1"/>
        <w:rPr>
          <w:rStyle w:val="RuleText-Bold"/>
          <w:rFonts w:ascii="Bookman Old Style" w:hAnsi="Bookman Old Style" w:cs="Arial"/>
          <w:sz w:val="22"/>
        </w:rPr>
      </w:pPr>
      <w:r w:rsidRPr="00743B4B">
        <w:rPr>
          <w:rStyle w:val="Strong"/>
          <w:rFonts w:ascii="Bookman Old Style" w:hAnsi="Bookman Old Style" w:cs="Arial"/>
          <w:color w:val="212121"/>
          <w:sz w:val="22"/>
        </w:rPr>
        <w:t>(a) Service.</w:t>
      </w:r>
      <w:r w:rsidRPr="00743B4B">
        <w:rPr>
          <w:rStyle w:val="RuleText-Bold"/>
          <w:rFonts w:ascii="Bookman Old Style" w:hAnsi="Bookman Old Style" w:cs="Arial"/>
          <w:sz w:val="22"/>
        </w:rPr>
        <w:t xml:space="preserve"> </w:t>
      </w:r>
    </w:p>
    <w:p w14:paraId="141D8318" w14:textId="77777777" w:rsidR="00743B4B" w:rsidRPr="00743B4B" w:rsidRDefault="00743B4B" w:rsidP="00743B4B">
      <w:pPr>
        <w:pStyle w:val="Subdivision1Text"/>
        <w:rPr>
          <w:rStyle w:val="RuleText-Bold"/>
          <w:rFonts w:ascii="Bookman Old Style" w:hAnsi="Bookman Old Style" w:cs="Arial"/>
          <w:sz w:val="22"/>
        </w:rPr>
      </w:pPr>
      <w:r w:rsidRPr="00743B4B">
        <w:rPr>
          <w:rFonts w:ascii="Bookman Old Style" w:hAnsi="Bookman Old Style" w:cs="Arial"/>
          <w:b/>
          <w:sz w:val="22"/>
        </w:rPr>
        <w:t>(1)</w:t>
      </w:r>
      <w:r w:rsidRPr="00743B4B">
        <w:rPr>
          <w:rFonts w:ascii="Bookman Old Style" w:hAnsi="Bookman Old Style" w:cs="Arial"/>
          <w:b/>
          <w:sz w:val="22"/>
        </w:rPr>
        <w:tab/>
        <w:t>Family Law Actions Generally.</w:t>
      </w:r>
      <w:r w:rsidRPr="00743B4B">
        <w:rPr>
          <w:rFonts w:ascii="Bookman Old Style" w:hAnsi="Bookman Old Style" w:cs="Arial"/>
          <w:sz w:val="22"/>
        </w:rPr>
        <w:t xml:space="preserve"> </w:t>
      </w:r>
      <w:r w:rsidRPr="00743B4B">
        <w:rPr>
          <w:rFonts w:ascii="Bookman Old Style" w:hAnsi="Bookman Old Style" w:cs="Arial"/>
          <w:color w:val="313131"/>
          <w:sz w:val="22"/>
        </w:rPr>
        <w:t xml:space="preserve">Every pleading </w:t>
      </w:r>
      <w:proofErr w:type="gramStart"/>
      <w:r w:rsidRPr="00743B4B">
        <w:rPr>
          <w:rFonts w:ascii="Bookman Old Style" w:hAnsi="Bookman Old Style" w:cs="Arial"/>
          <w:color w:val="313131"/>
          <w:sz w:val="22"/>
        </w:rPr>
        <w:t>subsequent to</w:t>
      </w:r>
      <w:proofErr w:type="gramEnd"/>
      <w:r w:rsidRPr="00743B4B">
        <w:rPr>
          <w:rFonts w:ascii="Bookman Old Style" w:hAnsi="Bookman Old Style" w:cs="Arial"/>
          <w:color w:val="313131"/>
          <w:sz w:val="22"/>
        </w:rPr>
        <w:t xml:space="preserve"> the initial pleading and every other document filed or required by statute or rule to be served must be served in conformity with the requirements of</w:t>
      </w:r>
      <w:r w:rsidRPr="00743B4B">
        <w:rPr>
          <w:rFonts w:ascii="Bookman Old Style" w:hAnsi="Bookman Old Style" w:cs="Arial"/>
          <w:sz w:val="22"/>
        </w:rPr>
        <w:t xml:space="preserve"> Florida Rule of General Practice and Judicial Administration 2.516.</w:t>
      </w:r>
      <w:r w:rsidRPr="00743B4B">
        <w:rPr>
          <w:rStyle w:val="RuleText-Bold"/>
          <w:rFonts w:ascii="Bookman Old Style" w:hAnsi="Bookman Old Style" w:cs="Arial"/>
          <w:sz w:val="22"/>
        </w:rPr>
        <w:t xml:space="preserve"> </w:t>
      </w:r>
    </w:p>
    <w:p w14:paraId="4B3AF421" w14:textId="77777777" w:rsidR="00743B4B" w:rsidRPr="00743B4B" w:rsidRDefault="00743B4B" w:rsidP="00743B4B">
      <w:pPr>
        <w:pStyle w:val="Subdivision1Text"/>
        <w:rPr>
          <w:rStyle w:val="DefaultText"/>
          <w:rFonts w:ascii="Bookman Old Style" w:hAnsi="Bookman Old Style" w:cs="Arial"/>
          <w:sz w:val="22"/>
        </w:rPr>
      </w:pPr>
      <w:r w:rsidRPr="00743B4B">
        <w:rPr>
          <w:rStyle w:val="RuleText-Bold"/>
          <w:rFonts w:ascii="Bookman Old Style" w:hAnsi="Bookman Old Style" w:cs="Arial"/>
          <w:sz w:val="22"/>
        </w:rPr>
        <w:t>(2)</w:t>
      </w:r>
      <w:r w:rsidRPr="00743B4B">
        <w:rPr>
          <w:rStyle w:val="RuleText-Bold"/>
          <w:rFonts w:ascii="Bookman Old Style" w:hAnsi="Bookman Old Style" w:cs="Arial"/>
          <w:sz w:val="22"/>
        </w:rPr>
        <w:tab/>
        <w:t>Domestic, Repeat, Dating, and Sexual Violence, and Stalking Actions.</w:t>
      </w:r>
      <w:r w:rsidRPr="00743B4B">
        <w:rPr>
          <w:rStyle w:val="DefaultText"/>
          <w:rFonts w:ascii="Bookman Old Style" w:hAnsi="Bookman Old Style" w:cs="Arial"/>
          <w:sz w:val="22"/>
        </w:rPr>
        <w:t xml:space="preserve"> Service of pleadings and documents regarding proceedings for injunctions against domestic, repeat, dating, and sexual violence, and </w:t>
      </w:r>
      <w:r w:rsidRPr="00743B4B">
        <w:rPr>
          <w:rStyle w:val="RuleText-Normal"/>
          <w:rFonts w:ascii="Bookman Old Style" w:hAnsi="Bookman Old Style" w:cs="Arial"/>
          <w:sz w:val="22"/>
        </w:rPr>
        <w:t>stalking is</w:t>
      </w:r>
      <w:r w:rsidRPr="00743B4B">
        <w:rPr>
          <w:rStyle w:val="DefaultText"/>
          <w:rFonts w:ascii="Bookman Old Style" w:hAnsi="Bookman Old Style" w:cs="Arial"/>
          <w:sz w:val="22"/>
        </w:rPr>
        <w:t xml:space="preserve"> governed </w:t>
      </w:r>
      <w:r w:rsidRPr="00743B4B">
        <w:rPr>
          <w:rStyle w:val="RuleText-Normal"/>
          <w:rFonts w:ascii="Bookman Old Style" w:hAnsi="Bookman Old Style" w:cs="Arial"/>
          <w:sz w:val="22"/>
        </w:rPr>
        <w:t>by rule</w:t>
      </w:r>
      <w:r w:rsidRPr="00743B4B">
        <w:rPr>
          <w:rStyle w:val="DefaultText"/>
          <w:rFonts w:ascii="Bookman Old Style" w:hAnsi="Bookman Old Style" w:cs="Arial"/>
          <w:sz w:val="22"/>
        </w:rPr>
        <w:t xml:space="preserve"> 12.610, where it </w:t>
      </w:r>
      <w:proofErr w:type="gramStart"/>
      <w:r w:rsidRPr="00743B4B">
        <w:rPr>
          <w:rStyle w:val="DefaultText"/>
          <w:rFonts w:ascii="Bookman Old Style" w:hAnsi="Bookman Old Style" w:cs="Arial"/>
          <w:sz w:val="22"/>
        </w:rPr>
        <w:t>is in conflict with</w:t>
      </w:r>
      <w:proofErr w:type="gramEnd"/>
      <w:r w:rsidRPr="00743B4B">
        <w:rPr>
          <w:rStyle w:val="DefaultText"/>
          <w:rFonts w:ascii="Bookman Old Style" w:hAnsi="Bookman Old Style" w:cs="Arial"/>
          <w:sz w:val="22"/>
        </w:rPr>
        <w:t xml:space="preserve"> this rule.</w:t>
      </w:r>
    </w:p>
    <w:p w14:paraId="5B70AC94" w14:textId="77777777" w:rsidR="004E34FE" w:rsidRDefault="00743B4B" w:rsidP="004E34FE">
      <w:pPr>
        <w:pStyle w:val="Subdivision1Text"/>
        <w:rPr>
          <w:rStyle w:val="DefaultText"/>
          <w:rFonts w:ascii="Bookman Old Style" w:hAnsi="Bookman Old Style" w:cs="Arial"/>
          <w:sz w:val="22"/>
        </w:rPr>
      </w:pPr>
      <w:r w:rsidRPr="00743B4B">
        <w:rPr>
          <w:rStyle w:val="DefaultText"/>
          <w:rFonts w:ascii="Bookman Old Style" w:hAnsi="Bookman Old Style" w:cs="Arial"/>
          <w:b/>
          <w:bCs/>
          <w:sz w:val="22"/>
        </w:rPr>
        <w:t>(3)</w:t>
      </w:r>
      <w:r w:rsidRPr="00743B4B">
        <w:rPr>
          <w:rStyle w:val="DefaultText"/>
          <w:rFonts w:ascii="Bookman Old Style" w:hAnsi="Bookman Old Style" w:cs="Arial"/>
          <w:b/>
          <w:bCs/>
          <w:sz w:val="22"/>
        </w:rPr>
        <w:tab/>
        <w:t xml:space="preserve">Limited Appearance. </w:t>
      </w:r>
      <w:r w:rsidRPr="00743B4B">
        <w:rPr>
          <w:rStyle w:val="DefaultText"/>
          <w:rFonts w:ascii="Bookman Old Style" w:hAnsi="Bookman Old Style" w:cs="Arial"/>
          <w:sz w:val="22"/>
        </w:rPr>
        <w:t>Florida Rule of General Practice and Judicial Administration 2.516 also applies to service on the party during the attorney’s limited appearance as provided in rule 12.040(f) and must be expanded as set forth in subdivisions (b) and (c) to include additional requirements for service of recommended orders and for service on defaulted parties.</w:t>
      </w:r>
    </w:p>
    <w:p w14:paraId="32D60FAD" w14:textId="77777777" w:rsidR="004E34FE" w:rsidRDefault="004E34FE" w:rsidP="004E34FE">
      <w:pPr>
        <w:pStyle w:val="Subdivision1Text"/>
        <w:rPr>
          <w:rStyle w:val="Normal1"/>
          <w:rFonts w:ascii="Bookman Old Style" w:hAnsi="Bookman Old Style"/>
          <w:sz w:val="22"/>
        </w:rPr>
      </w:pPr>
      <w:r w:rsidRPr="004E34FE">
        <w:rPr>
          <w:rStyle w:val="DefaultText"/>
          <w:rFonts w:ascii="Bookman Old Style" w:hAnsi="Bookman Old Style" w:cs="Arial"/>
          <w:b/>
          <w:bCs/>
          <w:sz w:val="22"/>
        </w:rPr>
        <w:t>(4)</w:t>
      </w:r>
      <w:r w:rsidRPr="00AE5A81">
        <w:rPr>
          <w:rStyle w:val="Bold"/>
          <w:rFonts w:ascii="Bookman Old Style" w:hAnsi="Bookman Old Style"/>
          <w:sz w:val="22"/>
        </w:rPr>
        <w:tab/>
      </w:r>
      <w:commentRangeStart w:id="7"/>
      <w:r w:rsidRPr="00FF4697">
        <w:rPr>
          <w:rStyle w:val="Bold"/>
          <w:rFonts w:ascii="Bookman Old Style" w:hAnsi="Bookman Old Style"/>
          <w:sz w:val="22"/>
          <w:highlight w:val="yellow"/>
        </w:rPr>
        <w:t>Service</w:t>
      </w:r>
      <w:commentRangeEnd w:id="7"/>
      <w:r w:rsidRPr="00FF4697">
        <w:rPr>
          <w:rStyle w:val="CommentReference"/>
          <w:rFonts w:asciiTheme="minorHAnsi" w:eastAsiaTheme="minorHAnsi" w:hAnsiTheme="minorHAnsi" w:cstheme="minorBidi"/>
          <w:highlight w:val="yellow"/>
        </w:rPr>
        <w:commentReference w:id="7"/>
      </w:r>
      <w:r w:rsidRPr="00FF4697">
        <w:rPr>
          <w:rStyle w:val="Bold"/>
          <w:rFonts w:ascii="Bookman Old Style" w:hAnsi="Bookman Old Style"/>
          <w:sz w:val="22"/>
          <w:highlight w:val="yellow"/>
        </w:rPr>
        <w:t xml:space="preserve"> on and by Parties Not Represented by an Attorney.</w:t>
      </w:r>
      <w:r w:rsidRPr="00FF4697">
        <w:rPr>
          <w:rStyle w:val="Normal1"/>
          <w:rFonts w:ascii="Bookman Old Style" w:hAnsi="Bookman Old Style"/>
          <w:sz w:val="22"/>
          <w:highlight w:val="yellow"/>
        </w:rPr>
        <w:t xml:space="preserve"> Any party not represented by an attorney </w:t>
      </w:r>
      <w:r w:rsidRPr="00FF4697">
        <w:rPr>
          <w:rStyle w:val="Normal1"/>
          <w:rFonts w:ascii="Bookman Old Style" w:hAnsi="Bookman Old Style"/>
          <w:sz w:val="22"/>
          <w:highlight w:val="yellow"/>
        </w:rPr>
        <w:t xml:space="preserve">must be </w:t>
      </w:r>
      <w:r w:rsidRPr="00FF4697">
        <w:rPr>
          <w:rFonts w:ascii="Bookman Old Style" w:hAnsi="Bookman Old Style" w:cs="Arial"/>
          <w:color w:val="313131"/>
          <w:sz w:val="22"/>
          <w:highlight w:val="yellow"/>
        </w:rPr>
        <w:t>served must be served in conformity with the requirements of</w:t>
      </w:r>
      <w:r w:rsidRPr="00FF4697">
        <w:rPr>
          <w:rFonts w:ascii="Bookman Old Style" w:hAnsi="Bookman Old Style" w:cs="Arial"/>
          <w:sz w:val="22"/>
          <w:highlight w:val="yellow"/>
        </w:rPr>
        <w:t xml:space="preserve"> Florida Rule of General Practice and Judicial Administration 2.516</w:t>
      </w:r>
      <w:r w:rsidRPr="00FF4697">
        <w:rPr>
          <w:rStyle w:val="Normal1"/>
          <w:rFonts w:ascii="Bookman Old Style" w:hAnsi="Bookman Old Style"/>
          <w:sz w:val="22"/>
          <w:highlight w:val="yellow"/>
        </w:rPr>
        <w:t>(b)(1)(C).</w:t>
      </w:r>
    </w:p>
    <w:p w14:paraId="6DEAFCBA" w14:textId="1860C9AB" w:rsidR="004E34FE" w:rsidRPr="004E34FE" w:rsidRDefault="004E34FE" w:rsidP="004E34FE">
      <w:pPr>
        <w:pStyle w:val="Subdivision1Text"/>
        <w:rPr>
          <w:rStyle w:val="RuleText-Bold"/>
          <w:rFonts w:ascii="Bookman Old Style" w:hAnsi="Bookman Old Style" w:cs="Arial"/>
          <w:b w:val="0"/>
          <w:sz w:val="22"/>
        </w:rPr>
      </w:pPr>
      <w:r w:rsidRPr="004E34FE">
        <w:rPr>
          <w:rStyle w:val="Normal1"/>
          <w:rFonts w:ascii="Bookman Old Style" w:hAnsi="Bookman Old Style"/>
          <w:b/>
          <w:bCs/>
          <w:sz w:val="22"/>
        </w:rPr>
        <w:t>(5)</w:t>
      </w:r>
      <w:r>
        <w:rPr>
          <w:rStyle w:val="Normal1"/>
          <w:rFonts w:ascii="Bookman Old Style" w:hAnsi="Bookman Old Style"/>
          <w:sz w:val="22"/>
        </w:rPr>
        <w:t xml:space="preserve"> </w:t>
      </w:r>
      <w:r>
        <w:rPr>
          <w:rStyle w:val="Normal1"/>
          <w:rFonts w:ascii="Bookman Old Style" w:hAnsi="Bookman Old Style"/>
          <w:b/>
          <w:bCs/>
          <w:sz w:val="22"/>
          <w:highlight w:val="yellow"/>
        </w:rPr>
        <w:t xml:space="preserve">Opt-Out of Designated Email Service by Parties Not Represented by an Attorney. </w:t>
      </w:r>
      <w:r w:rsidRPr="000F3EFE">
        <w:rPr>
          <w:rStyle w:val="Normal1"/>
          <w:rFonts w:ascii="Bookman Old Style" w:hAnsi="Bookman Old Style"/>
          <w:sz w:val="22"/>
          <w:highlight w:val="yellow"/>
        </w:rPr>
        <w:t xml:space="preserve">If a party not represented by an attorney designates a primary e-mail address or any subsequent e-mail addresses chooses to no longer have </w:t>
      </w:r>
      <w:r>
        <w:rPr>
          <w:rStyle w:val="Normal1"/>
          <w:rFonts w:ascii="Bookman Old Style" w:hAnsi="Bookman Old Style"/>
          <w:sz w:val="22"/>
          <w:highlight w:val="yellow"/>
        </w:rPr>
        <w:t xml:space="preserve">an </w:t>
      </w:r>
      <w:r w:rsidRPr="000F3EFE">
        <w:rPr>
          <w:rStyle w:val="Normal1"/>
          <w:rFonts w:ascii="Bookman Old Style" w:hAnsi="Bookman Old Style"/>
          <w:sz w:val="22"/>
          <w:highlight w:val="yellow"/>
        </w:rPr>
        <w:t>e-mail address</w:t>
      </w:r>
      <w:r>
        <w:rPr>
          <w:rStyle w:val="Normal1"/>
          <w:rFonts w:ascii="Bookman Old Style" w:hAnsi="Bookman Old Style"/>
          <w:sz w:val="22"/>
          <w:highlight w:val="yellow"/>
        </w:rPr>
        <w:t xml:space="preserve"> designated</w:t>
      </w:r>
      <w:r w:rsidRPr="000F3EFE">
        <w:rPr>
          <w:rStyle w:val="Normal1"/>
          <w:rFonts w:ascii="Bookman Old Style" w:hAnsi="Bookman Old Style"/>
          <w:sz w:val="22"/>
          <w:highlight w:val="yellow"/>
        </w:rPr>
        <w:t xml:space="preserve"> and would like to </w:t>
      </w:r>
      <w:r w:rsidR="00286B93">
        <w:rPr>
          <w:rStyle w:val="Normal1"/>
          <w:rFonts w:ascii="Bookman Old Style" w:hAnsi="Bookman Old Style"/>
          <w:sz w:val="22"/>
          <w:highlight w:val="yellow"/>
        </w:rPr>
        <w:t xml:space="preserve">be </w:t>
      </w:r>
      <w:r w:rsidRPr="000F3EFE">
        <w:rPr>
          <w:rStyle w:val="Normal1"/>
          <w:rFonts w:ascii="Bookman Old Style" w:hAnsi="Bookman Old Style"/>
          <w:sz w:val="22"/>
          <w:highlight w:val="yellow"/>
        </w:rPr>
        <w:t>serve</w:t>
      </w:r>
      <w:r w:rsidR="00286B93">
        <w:rPr>
          <w:rStyle w:val="Normal1"/>
          <w:rFonts w:ascii="Bookman Old Style" w:hAnsi="Bookman Old Style"/>
          <w:sz w:val="22"/>
          <w:highlight w:val="yellow"/>
        </w:rPr>
        <w:t>d or provide service</w:t>
      </w:r>
      <w:r w:rsidRPr="000F3EFE">
        <w:rPr>
          <w:rStyle w:val="Normal1"/>
          <w:rFonts w:ascii="Bookman Old Style" w:hAnsi="Bookman Old Style"/>
          <w:sz w:val="22"/>
          <w:highlight w:val="yellow"/>
        </w:rPr>
        <w:t xml:space="preserve"> by </w:t>
      </w:r>
      <w:r>
        <w:rPr>
          <w:rStyle w:val="Normal1"/>
          <w:rFonts w:ascii="Bookman Old Style" w:hAnsi="Bookman Old Style"/>
          <w:sz w:val="22"/>
          <w:highlight w:val="yellow"/>
        </w:rPr>
        <w:t>other</w:t>
      </w:r>
      <w:r w:rsidRPr="000F3EFE">
        <w:rPr>
          <w:rStyle w:val="Normal1"/>
          <w:rFonts w:ascii="Bookman Old Style" w:hAnsi="Bookman Old Style"/>
          <w:sz w:val="22"/>
          <w:highlight w:val="yellow"/>
        </w:rPr>
        <w:t xml:space="preserve"> means, the party must place all other parties to the action on notice that the party chooses to no longer receive</w:t>
      </w:r>
      <w:r>
        <w:rPr>
          <w:rStyle w:val="Normal1"/>
          <w:rFonts w:ascii="Bookman Old Style" w:hAnsi="Bookman Old Style"/>
          <w:sz w:val="22"/>
          <w:highlight w:val="yellow"/>
        </w:rPr>
        <w:t xml:space="preserve"> or provide </w:t>
      </w:r>
      <w:r w:rsidRPr="000F3EFE">
        <w:rPr>
          <w:rStyle w:val="Normal1"/>
          <w:rFonts w:ascii="Bookman Old Style" w:hAnsi="Bookman Old Style"/>
          <w:sz w:val="22"/>
          <w:highlight w:val="yellow"/>
        </w:rPr>
        <w:t xml:space="preserve">documents </w:t>
      </w:r>
      <w:r w:rsidRPr="00286B93">
        <w:rPr>
          <w:rStyle w:val="Normal1"/>
          <w:rFonts w:ascii="Bookman Old Style" w:hAnsi="Bookman Old Style"/>
          <w:sz w:val="22"/>
          <w:highlight w:val="yellow"/>
        </w:rPr>
        <w:t xml:space="preserve">by e-mail and elect service to receive and provide documents by the means provided in </w:t>
      </w:r>
      <w:r w:rsidR="00286B93" w:rsidRPr="00286B93">
        <w:rPr>
          <w:rFonts w:ascii="Bookman Old Style" w:hAnsi="Bookman Old Style" w:cs="Arial"/>
          <w:sz w:val="22"/>
          <w:highlight w:val="yellow"/>
        </w:rPr>
        <w:t>Florida Rule of General Practice and Judicial Administration 2.516</w:t>
      </w:r>
      <w:r w:rsidR="00286B93" w:rsidRPr="00286B93">
        <w:rPr>
          <w:rFonts w:ascii="Bookman Old Style" w:hAnsi="Bookman Old Style" w:cs="Arial"/>
          <w:sz w:val="22"/>
          <w:highlight w:val="yellow"/>
        </w:rPr>
        <w:t xml:space="preserve">, </w:t>
      </w:r>
      <w:r w:rsidRPr="00286B93">
        <w:rPr>
          <w:rStyle w:val="Normal1"/>
          <w:rFonts w:ascii="Bookman Old Style" w:hAnsi="Bookman Old Style"/>
          <w:sz w:val="22"/>
          <w:highlight w:val="yellow"/>
        </w:rPr>
        <w:t>subdivision (b)(2)</w:t>
      </w:r>
      <w:r w:rsidRPr="000F3EFE">
        <w:rPr>
          <w:rStyle w:val="Normal1"/>
          <w:rFonts w:ascii="Bookman Old Style" w:hAnsi="Bookman Old Style"/>
          <w:sz w:val="22"/>
        </w:rPr>
        <w:t xml:space="preserve"> </w:t>
      </w:r>
    </w:p>
    <w:p w14:paraId="3744546C" w14:textId="29FF4F13" w:rsidR="00743B4B" w:rsidRPr="00743B4B" w:rsidRDefault="004E34FE" w:rsidP="00743B4B">
      <w:pPr>
        <w:pStyle w:val="SubdivisionaText"/>
        <w:rPr>
          <w:rStyle w:val="DefaultText"/>
          <w:rFonts w:ascii="Bookman Old Style" w:hAnsi="Bookman Old Style" w:cs="Arial"/>
          <w:sz w:val="22"/>
        </w:rPr>
      </w:pPr>
      <w:r>
        <w:rPr>
          <w:rStyle w:val="RuleText-Bold"/>
          <w:rFonts w:ascii="Bookman Old Style" w:hAnsi="Bookman Old Style" w:cs="Arial"/>
          <w:sz w:val="22"/>
        </w:rPr>
        <w:t xml:space="preserve">(6) </w:t>
      </w:r>
      <w:r w:rsidR="00743B4B" w:rsidRPr="00743B4B">
        <w:rPr>
          <w:rStyle w:val="RuleText-Bold"/>
          <w:rFonts w:ascii="Bookman Old Style" w:hAnsi="Bookman Old Style" w:cs="Arial"/>
          <w:sz w:val="22"/>
        </w:rPr>
        <w:t>Service and Preparation of Orders and Judgments.</w:t>
      </w:r>
      <w:r w:rsidR="00743B4B" w:rsidRPr="00743B4B">
        <w:rPr>
          <w:rStyle w:val="DefaultText"/>
          <w:rFonts w:ascii="Bookman Old Style" w:hAnsi="Bookman Old Style" w:cs="Arial"/>
          <w:sz w:val="22"/>
        </w:rPr>
        <w:t xml:space="preserve"> A copy of all orders or judgments involving family law matters</w:t>
      </w:r>
      <w:r w:rsidR="00743B4B" w:rsidRPr="00743B4B">
        <w:rPr>
          <w:rStyle w:val="RuleText-Underline"/>
          <w:rFonts w:ascii="Bookman Old Style" w:hAnsi="Bookman Old Style" w:cs="Arial"/>
          <w:sz w:val="22"/>
        </w:rPr>
        <w:t>,</w:t>
      </w:r>
      <w:r w:rsidR="00743B4B" w:rsidRPr="00743B4B">
        <w:rPr>
          <w:rStyle w:val="DefaultText"/>
          <w:rFonts w:ascii="Bookman Old Style" w:hAnsi="Bookman Old Style" w:cs="Arial"/>
          <w:sz w:val="22"/>
        </w:rPr>
        <w:t xml:space="preserve"> except proceedings for injunctions for protection against domestic, </w:t>
      </w:r>
      <w:r w:rsidR="00743B4B" w:rsidRPr="00AE5A81">
        <w:rPr>
          <w:rStyle w:val="DefaultText"/>
          <w:rFonts w:ascii="Bookman Old Style" w:hAnsi="Bookman Old Style" w:cs="Arial"/>
          <w:sz w:val="22"/>
        </w:rPr>
        <w:t>repeat, dating, and sexual violence, and stalking</w:t>
      </w:r>
      <w:r w:rsidR="00743B4B" w:rsidRPr="00AE5A81">
        <w:rPr>
          <w:rStyle w:val="RuleText-Underline"/>
          <w:rFonts w:ascii="Bookman Old Style" w:hAnsi="Bookman Old Style" w:cs="Arial"/>
          <w:sz w:val="22"/>
        </w:rPr>
        <w:t>,</w:t>
      </w:r>
      <w:r w:rsidR="00743B4B" w:rsidRPr="00AE5A81">
        <w:rPr>
          <w:rStyle w:val="DefaultText"/>
          <w:rFonts w:ascii="Bookman Old Style" w:hAnsi="Bookman Old Style" w:cs="Arial"/>
          <w:sz w:val="22"/>
        </w:rPr>
        <w:t xml:space="preserve"> </w:t>
      </w:r>
      <w:r w:rsidR="00743B4B" w:rsidRPr="00AE5A81">
        <w:rPr>
          <w:rStyle w:val="RuleText-Normal"/>
          <w:rFonts w:ascii="Bookman Old Style" w:hAnsi="Bookman Old Style" w:cs="Arial"/>
          <w:sz w:val="22"/>
        </w:rPr>
        <w:t>must</w:t>
      </w:r>
      <w:r w:rsidR="00743B4B" w:rsidRPr="00AE5A81">
        <w:rPr>
          <w:rStyle w:val="DefaultText"/>
          <w:rFonts w:ascii="Bookman Old Style" w:hAnsi="Bookman Old Style" w:cs="Arial"/>
          <w:sz w:val="22"/>
        </w:rPr>
        <w:t xml:space="preserve"> be transmitted by the court or under its direction to all parties at the time of entry of the order or judgment. The court may require that recommended orders, orders, or judgments be prepared by a party</w:t>
      </w:r>
      <w:r w:rsidR="00743B4B" w:rsidRPr="00FF4697">
        <w:rPr>
          <w:rStyle w:val="DefaultText"/>
          <w:rFonts w:ascii="Bookman Old Style" w:hAnsi="Bookman Old Style" w:cs="Arial"/>
          <w:sz w:val="22"/>
          <w:highlight w:val="yellow"/>
        </w:rPr>
        <w:t xml:space="preserve">. </w:t>
      </w:r>
      <w:commentRangeStart w:id="8"/>
      <w:r w:rsidR="00743B4B" w:rsidRPr="00FF4697">
        <w:rPr>
          <w:rStyle w:val="DefaultText"/>
          <w:rFonts w:ascii="Bookman Old Style" w:hAnsi="Bookman Old Style" w:cs="Arial"/>
          <w:sz w:val="22"/>
          <w:highlight w:val="yellow"/>
        </w:rPr>
        <w:t>If the court requires that a party prepare the recommended order, order, or judgment,</w:t>
      </w:r>
      <w:r w:rsidR="00AE5A81" w:rsidRPr="00FF4697">
        <w:rPr>
          <w:rStyle w:val="DefaultText"/>
          <w:rFonts w:ascii="Bookman Old Style" w:hAnsi="Bookman Old Style" w:cs="Arial"/>
          <w:sz w:val="22"/>
          <w:highlight w:val="yellow"/>
        </w:rPr>
        <w:t xml:space="preserve"> </w:t>
      </w:r>
      <w:r w:rsidR="00AE5A81" w:rsidRPr="00FF4697">
        <w:rPr>
          <w:rStyle w:val="DefaultText"/>
          <w:rFonts w:ascii="Bookman Old Style" w:hAnsi="Bookman Old Style" w:cs="Arial"/>
          <w:b/>
          <w:bCs/>
          <w:sz w:val="22"/>
          <w:highlight w:val="yellow"/>
        </w:rPr>
        <w:t xml:space="preserve">and the party does not furnish the </w:t>
      </w:r>
      <w:r w:rsidR="00AE5A81" w:rsidRPr="00FF4697">
        <w:rPr>
          <w:rStyle w:val="DefaultText"/>
          <w:rFonts w:ascii="Bookman Old Style" w:hAnsi="Bookman Old Style" w:cs="Arial"/>
          <w:b/>
          <w:bCs/>
          <w:sz w:val="22"/>
          <w:highlight w:val="yellow"/>
        </w:rPr>
        <w:t>recommended order, order, or judgment</w:t>
      </w:r>
      <w:r w:rsidR="00AE5A81" w:rsidRPr="00FF4697">
        <w:rPr>
          <w:rStyle w:val="DefaultText"/>
          <w:rFonts w:ascii="Bookman Old Style" w:hAnsi="Bookman Old Style" w:cs="Arial"/>
          <w:b/>
          <w:bCs/>
          <w:sz w:val="22"/>
          <w:highlight w:val="yellow"/>
        </w:rPr>
        <w:t xml:space="preserve"> electronically,</w:t>
      </w:r>
      <w:r w:rsidR="00AE5A81" w:rsidRPr="00FF4697">
        <w:rPr>
          <w:rStyle w:val="DefaultText"/>
          <w:rFonts w:ascii="Bookman Old Style" w:hAnsi="Bookman Old Style" w:cs="Arial"/>
          <w:sz w:val="22"/>
          <w:highlight w:val="yellow"/>
        </w:rPr>
        <w:t xml:space="preserve"> the</w:t>
      </w:r>
      <w:r w:rsidR="00743B4B" w:rsidRPr="00FF4697">
        <w:rPr>
          <w:rStyle w:val="DefaultText"/>
          <w:rFonts w:ascii="Bookman Old Style" w:hAnsi="Bookman Old Style" w:cs="Arial"/>
          <w:sz w:val="22"/>
          <w:highlight w:val="yellow"/>
        </w:rPr>
        <w:t xml:space="preserve"> party </w:t>
      </w:r>
      <w:r w:rsidR="00743B4B" w:rsidRPr="00FF4697">
        <w:rPr>
          <w:rStyle w:val="RuleText-Normal"/>
          <w:rFonts w:ascii="Bookman Old Style" w:hAnsi="Bookman Old Style" w:cs="Arial"/>
          <w:sz w:val="22"/>
          <w:highlight w:val="yellow"/>
        </w:rPr>
        <w:t xml:space="preserve">must </w:t>
      </w:r>
      <w:r w:rsidR="00743B4B" w:rsidRPr="00FF4697">
        <w:rPr>
          <w:rStyle w:val="DefaultText"/>
          <w:rFonts w:ascii="Bookman Old Style" w:hAnsi="Bookman Old Style" w:cs="Arial"/>
          <w:sz w:val="22"/>
          <w:highlight w:val="yellow"/>
        </w:rPr>
        <w:t>furnish the court with stamped, addressed envelopes to all parties for service of the recommended order, order, or judgment.</w:t>
      </w:r>
      <w:r w:rsidR="00743B4B" w:rsidRPr="00AE5A81">
        <w:rPr>
          <w:rStyle w:val="DefaultText"/>
          <w:rFonts w:ascii="Bookman Old Style" w:hAnsi="Bookman Old Style" w:cs="Arial"/>
          <w:sz w:val="22"/>
        </w:rPr>
        <w:t xml:space="preserve"> T</w:t>
      </w:r>
      <w:commentRangeEnd w:id="8"/>
      <w:r w:rsidR="00CF13EB" w:rsidRPr="00AE5A81">
        <w:rPr>
          <w:rStyle w:val="CommentReference"/>
          <w:rFonts w:asciiTheme="minorHAnsi" w:eastAsiaTheme="minorHAnsi" w:hAnsiTheme="minorHAnsi" w:cstheme="minorBidi"/>
        </w:rPr>
        <w:commentReference w:id="8"/>
      </w:r>
      <w:proofErr w:type="gramStart"/>
      <w:r w:rsidR="00743B4B" w:rsidRPr="00AE5A81">
        <w:rPr>
          <w:rStyle w:val="DefaultText"/>
          <w:rFonts w:ascii="Bookman Old Style" w:hAnsi="Bookman Old Style" w:cs="Arial"/>
          <w:sz w:val="22"/>
        </w:rPr>
        <w:t>he</w:t>
      </w:r>
      <w:proofErr w:type="gramEnd"/>
      <w:r w:rsidR="00743B4B" w:rsidRPr="00AE5A81">
        <w:rPr>
          <w:rStyle w:val="DefaultText"/>
          <w:rFonts w:ascii="Bookman Old Style" w:hAnsi="Bookman Old Style" w:cs="Arial"/>
          <w:sz w:val="22"/>
        </w:rPr>
        <w:t xml:space="preserve"> court may also require that any proposed recommended order, order, or judgment that is prepared by a party be furnished to all parties no less than 24 hours before submission to the court</w:t>
      </w:r>
      <w:r w:rsidR="00743B4B" w:rsidRPr="00743B4B">
        <w:rPr>
          <w:rStyle w:val="DefaultText"/>
          <w:rFonts w:ascii="Bookman Old Style" w:hAnsi="Bookman Old Style" w:cs="Arial"/>
          <w:sz w:val="22"/>
        </w:rPr>
        <w:t xml:space="preserve"> of the recommended order, order, or judgment.</w:t>
      </w:r>
    </w:p>
    <w:p w14:paraId="53678967" w14:textId="77777777" w:rsidR="00743B4B" w:rsidRPr="00743B4B" w:rsidRDefault="00743B4B" w:rsidP="00743B4B">
      <w:pPr>
        <w:pStyle w:val="SubdivisionaText"/>
        <w:rPr>
          <w:rStyle w:val="DefaultText"/>
          <w:rFonts w:ascii="Bookman Old Style" w:hAnsi="Bookman Old Style" w:cs="Arial"/>
          <w:sz w:val="22"/>
        </w:rPr>
      </w:pPr>
      <w:r w:rsidRPr="00743B4B">
        <w:rPr>
          <w:rStyle w:val="RuleText-Bold"/>
          <w:rFonts w:ascii="Bookman Old Style" w:hAnsi="Bookman Old Style" w:cs="Arial"/>
          <w:sz w:val="22"/>
        </w:rPr>
        <w:lastRenderedPageBreak/>
        <w:t>(c)</w:t>
      </w:r>
      <w:r w:rsidRPr="00743B4B">
        <w:rPr>
          <w:rStyle w:val="RuleText-Bold"/>
          <w:rFonts w:ascii="Bookman Old Style" w:hAnsi="Bookman Old Style" w:cs="Arial"/>
          <w:sz w:val="22"/>
        </w:rPr>
        <w:tab/>
        <w:t xml:space="preserve">Defaulted Parties. </w:t>
      </w:r>
      <w:r w:rsidRPr="00743B4B">
        <w:rPr>
          <w:rStyle w:val="DefaultText"/>
          <w:rFonts w:ascii="Bookman Old Style" w:hAnsi="Bookman Old Style" w:cs="Arial"/>
          <w:sz w:val="22"/>
        </w:rPr>
        <w:t>No service need be made on parties against whom a default has been entered, except that:</w:t>
      </w:r>
    </w:p>
    <w:p w14:paraId="460F09E9" w14:textId="77777777" w:rsidR="00743B4B" w:rsidRPr="00743B4B" w:rsidRDefault="00743B4B" w:rsidP="00743B4B">
      <w:pPr>
        <w:pStyle w:val="Subdivision1Text"/>
        <w:rPr>
          <w:rStyle w:val="DefaultText"/>
          <w:rFonts w:ascii="Bookman Old Style" w:hAnsi="Bookman Old Style" w:cs="Arial"/>
          <w:sz w:val="22"/>
        </w:rPr>
      </w:pPr>
      <w:r w:rsidRPr="00743B4B">
        <w:rPr>
          <w:rStyle w:val="DefaultText"/>
          <w:rFonts w:ascii="Bookman Old Style" w:hAnsi="Bookman Old Style" w:cs="Arial"/>
          <w:sz w:val="22"/>
        </w:rPr>
        <w:t>(1)</w:t>
      </w:r>
      <w:r w:rsidRPr="00743B4B">
        <w:rPr>
          <w:rStyle w:val="DefaultText"/>
          <w:rFonts w:ascii="Bookman Old Style" w:hAnsi="Bookman Old Style" w:cs="Arial"/>
          <w:sz w:val="22"/>
        </w:rPr>
        <w:tab/>
        <w:t xml:space="preserve">Pleadings asserting new or additional claims against defaulted parties </w:t>
      </w:r>
      <w:r w:rsidRPr="00743B4B">
        <w:rPr>
          <w:rStyle w:val="RuleText-Normal"/>
          <w:rFonts w:ascii="Bookman Old Style" w:hAnsi="Bookman Old Style" w:cs="Arial"/>
          <w:sz w:val="22"/>
        </w:rPr>
        <w:t xml:space="preserve">must </w:t>
      </w:r>
      <w:r w:rsidRPr="00743B4B">
        <w:rPr>
          <w:rStyle w:val="DefaultText"/>
          <w:rFonts w:ascii="Bookman Old Style" w:hAnsi="Bookman Old Style" w:cs="Arial"/>
          <w:sz w:val="22"/>
        </w:rPr>
        <w:t xml:space="preserve">be served in the manner provided for service of summons contained in </w:t>
      </w:r>
      <w:r w:rsidRPr="00743B4B">
        <w:rPr>
          <w:rStyle w:val="RuleText-Normal"/>
          <w:rFonts w:ascii="Bookman Old Style" w:hAnsi="Bookman Old Style" w:cs="Arial"/>
          <w:sz w:val="22"/>
        </w:rPr>
        <w:t>rule 12.070.</w:t>
      </w:r>
    </w:p>
    <w:p w14:paraId="49FC1326" w14:textId="77777777" w:rsidR="00743B4B" w:rsidRPr="00743B4B" w:rsidRDefault="00743B4B" w:rsidP="00743B4B">
      <w:pPr>
        <w:pStyle w:val="Subdivision1Text"/>
        <w:rPr>
          <w:rStyle w:val="DefaultText"/>
          <w:rFonts w:ascii="Bookman Old Style" w:hAnsi="Bookman Old Style" w:cs="Arial"/>
          <w:sz w:val="22"/>
        </w:rPr>
      </w:pPr>
      <w:r w:rsidRPr="00743B4B">
        <w:rPr>
          <w:rStyle w:val="DefaultText"/>
          <w:rFonts w:ascii="Bookman Old Style" w:hAnsi="Bookman Old Style" w:cs="Arial"/>
          <w:sz w:val="22"/>
        </w:rPr>
        <w:t>(2)</w:t>
      </w:r>
      <w:r w:rsidRPr="00743B4B">
        <w:rPr>
          <w:rStyle w:val="DefaultText"/>
          <w:rFonts w:ascii="Bookman Old Style" w:hAnsi="Bookman Old Style" w:cs="Arial"/>
          <w:sz w:val="22"/>
        </w:rPr>
        <w:tab/>
        <w:t>Notice of final hearings or trials and court orders</w:t>
      </w:r>
      <w:r w:rsidRPr="00743B4B">
        <w:rPr>
          <w:rStyle w:val="RuleText-Normal"/>
          <w:rFonts w:ascii="Bookman Old Style" w:hAnsi="Bookman Old Style" w:cs="Arial"/>
          <w:sz w:val="22"/>
        </w:rPr>
        <w:t xml:space="preserve"> must</w:t>
      </w:r>
      <w:r w:rsidRPr="00743B4B">
        <w:rPr>
          <w:rStyle w:val="DefaultText"/>
          <w:rFonts w:ascii="Bookman Old Style" w:hAnsi="Bookman Old Style" w:cs="Arial"/>
          <w:sz w:val="22"/>
        </w:rPr>
        <w:t xml:space="preserve"> be served on defaulted parties in the manner provided for service of pleadings and documents contained in </w:t>
      </w:r>
      <w:r w:rsidRPr="00743B4B">
        <w:rPr>
          <w:rStyle w:val="RuleText-Normal"/>
          <w:rFonts w:ascii="Bookman Old Style" w:hAnsi="Bookman Old Style" w:cs="Arial"/>
          <w:sz w:val="22"/>
        </w:rPr>
        <w:t>Florida Rule of Judicial Administration</w:t>
      </w:r>
      <w:r w:rsidRPr="00743B4B">
        <w:rPr>
          <w:rStyle w:val="DefaultText"/>
          <w:rFonts w:ascii="Bookman Old Style" w:hAnsi="Bookman Old Style" w:cs="Arial"/>
          <w:sz w:val="22"/>
        </w:rPr>
        <w:t xml:space="preserve"> 2.516.</w:t>
      </w:r>
    </w:p>
    <w:p w14:paraId="66777B09" w14:textId="77777777" w:rsidR="00743B4B" w:rsidRPr="00743B4B" w:rsidRDefault="00743B4B" w:rsidP="00743B4B">
      <w:pPr>
        <w:pStyle w:val="Subdivision1Text"/>
        <w:rPr>
          <w:rStyle w:val="DefaultText"/>
          <w:rFonts w:ascii="Bookman Old Style" w:hAnsi="Bookman Old Style" w:cs="Arial"/>
          <w:sz w:val="22"/>
        </w:rPr>
      </w:pPr>
      <w:r w:rsidRPr="00743B4B">
        <w:rPr>
          <w:rStyle w:val="DefaultText"/>
          <w:rFonts w:ascii="Bookman Old Style" w:hAnsi="Bookman Old Style" w:cs="Arial"/>
          <w:sz w:val="22"/>
        </w:rPr>
        <w:t>(3)</w:t>
      </w:r>
      <w:r w:rsidRPr="00743B4B">
        <w:rPr>
          <w:rStyle w:val="DefaultText"/>
          <w:rFonts w:ascii="Bookman Old Style" w:hAnsi="Bookman Old Style" w:cs="Arial"/>
          <w:sz w:val="22"/>
        </w:rPr>
        <w:tab/>
        <w:t xml:space="preserve">Final judgments </w:t>
      </w:r>
      <w:r w:rsidRPr="00743B4B">
        <w:rPr>
          <w:rStyle w:val="RuleText-Normal"/>
          <w:rFonts w:ascii="Bookman Old Style" w:hAnsi="Bookman Old Style" w:cs="Arial"/>
          <w:sz w:val="22"/>
        </w:rPr>
        <w:t>must</w:t>
      </w:r>
      <w:r w:rsidRPr="00743B4B">
        <w:rPr>
          <w:rStyle w:val="DefaultText"/>
          <w:rFonts w:ascii="Bookman Old Style" w:hAnsi="Bookman Old Style" w:cs="Arial"/>
          <w:sz w:val="22"/>
        </w:rPr>
        <w:t xml:space="preserve"> be served on defaulted parties as set forth in </w:t>
      </w:r>
      <w:r w:rsidRPr="00743B4B">
        <w:rPr>
          <w:rStyle w:val="RuleText-Normal"/>
          <w:rFonts w:ascii="Bookman Old Style" w:hAnsi="Bookman Old Style" w:cs="Arial"/>
          <w:sz w:val="22"/>
        </w:rPr>
        <w:t>Florida Rule of Judicial Administration</w:t>
      </w:r>
      <w:r w:rsidRPr="00743B4B">
        <w:rPr>
          <w:rStyle w:val="DefaultText"/>
          <w:rFonts w:ascii="Bookman Old Style" w:hAnsi="Bookman Old Style" w:cs="Arial"/>
          <w:sz w:val="22"/>
        </w:rPr>
        <w:t xml:space="preserve"> 2.516(h).</w:t>
      </w:r>
    </w:p>
    <w:p w14:paraId="10B7E722" w14:textId="77777777" w:rsidR="00743B4B" w:rsidRPr="00743B4B" w:rsidRDefault="00743B4B" w:rsidP="00743B4B">
      <w:pPr>
        <w:pStyle w:val="RulesCenterText"/>
        <w:rPr>
          <w:rStyle w:val="Bold"/>
          <w:rFonts w:ascii="Bookman Old Style" w:hAnsi="Bookman Old Style" w:cs="Arial"/>
          <w:sz w:val="22"/>
        </w:rPr>
      </w:pPr>
      <w:r w:rsidRPr="00743B4B">
        <w:rPr>
          <w:rStyle w:val="Bold"/>
          <w:rFonts w:ascii="Bookman Old Style" w:hAnsi="Bookman Old Style" w:cs="Arial"/>
          <w:sz w:val="22"/>
        </w:rPr>
        <w:t>Commentary</w:t>
      </w:r>
    </w:p>
    <w:p w14:paraId="7A2AB52D" w14:textId="77777777" w:rsidR="00743B4B" w:rsidRPr="00743B4B" w:rsidRDefault="00743B4B" w:rsidP="00743B4B">
      <w:pPr>
        <w:pStyle w:val="RulesText1"/>
        <w:rPr>
          <w:rFonts w:ascii="Bookman Old Style" w:hAnsi="Bookman Old Style" w:cs="Arial"/>
          <w:sz w:val="22"/>
        </w:rPr>
      </w:pPr>
      <w:r w:rsidRPr="00743B4B">
        <w:rPr>
          <w:rFonts w:ascii="Bookman Old Style" w:hAnsi="Bookman Old Style" w:cs="Arial"/>
          <w:b/>
          <w:sz w:val="22"/>
        </w:rPr>
        <w:t>1995 Adoption.</w:t>
      </w:r>
      <w:r w:rsidRPr="00743B4B">
        <w:rPr>
          <w:rFonts w:ascii="Bookman Old Style" w:hAnsi="Bookman Old Style" w:cs="Arial"/>
          <w:sz w:val="22"/>
        </w:rPr>
        <w:t xml:space="preserve"> This rule provides that the procedure for service shall be as set forth in Florida Rule of Civil Procedure 1.080 with the following exceptions or additions to that rule. First, subdivision (b) corresponds to and replaces subdivision (h)(1) of rule 1.080 and expands the rule to include recommended orders. Second, this rule expands items that must be served on defaulted parties to ensure that defaulted parties are at least minimally advised of the progress of the proceedings. This rule is not intended to require the furnishing of a proposed recommended order, proposed order, or proposed final judgment to a defaulted party.</w:t>
      </w:r>
    </w:p>
    <w:p w14:paraId="53757788" w14:textId="77777777" w:rsidR="00743B4B" w:rsidRPr="00743B4B" w:rsidRDefault="00743B4B" w:rsidP="00743B4B">
      <w:pPr>
        <w:pStyle w:val="RulesCenterText"/>
        <w:rPr>
          <w:rStyle w:val="RuleText-Bold"/>
          <w:rFonts w:ascii="Bookman Old Style" w:hAnsi="Bookman Old Style" w:cs="Arial"/>
          <w:sz w:val="22"/>
        </w:rPr>
      </w:pPr>
      <w:r w:rsidRPr="00743B4B">
        <w:rPr>
          <w:rStyle w:val="RuleText-Bold"/>
          <w:rFonts w:ascii="Bookman Old Style" w:hAnsi="Bookman Old Style" w:cs="Arial"/>
          <w:sz w:val="22"/>
        </w:rPr>
        <w:t>Committee Notes</w:t>
      </w:r>
    </w:p>
    <w:p w14:paraId="5C7783BB" w14:textId="77777777" w:rsidR="00743B4B" w:rsidRPr="00743B4B" w:rsidRDefault="00743B4B" w:rsidP="00743B4B">
      <w:pPr>
        <w:pStyle w:val="RulesText1"/>
        <w:rPr>
          <w:rFonts w:ascii="Bookman Old Style" w:hAnsi="Bookman Old Style" w:cs="Arial"/>
          <w:sz w:val="22"/>
        </w:rPr>
      </w:pPr>
      <w:r w:rsidRPr="00743B4B">
        <w:rPr>
          <w:rFonts w:ascii="Bookman Old Style" w:hAnsi="Bookman Old Style" w:cs="Arial"/>
          <w:b/>
          <w:sz w:val="22"/>
        </w:rPr>
        <w:t>2012 Amendment.</w:t>
      </w:r>
      <w:r w:rsidRPr="00743B4B">
        <w:rPr>
          <w:rFonts w:ascii="Bookman Old Style" w:hAnsi="Bookman Old Style" w:cs="Arial"/>
          <w:sz w:val="22"/>
        </w:rPr>
        <w:t xml:space="preserve"> Subdivision (a)(1) is amended to provide for service on the party during the attorney’s limited appearance. Subdivision[s] (a)(1), (c)(2), and (c)(3) are amended to provide for service in accordance with Florida Rule of Judicial Administration 2.516.</w:t>
      </w:r>
    </w:p>
    <w:p w14:paraId="76708A93" w14:textId="77777777" w:rsidR="00743B4B" w:rsidRPr="00743B4B" w:rsidRDefault="00743B4B" w:rsidP="00743B4B">
      <w:pPr>
        <w:pStyle w:val="Subdivision1"/>
        <w:rPr>
          <w:rStyle w:val="Normal1"/>
          <w:rFonts w:ascii="Bookman Old Style" w:hAnsi="Bookman Old Style"/>
          <w:sz w:val="22"/>
        </w:rPr>
      </w:pPr>
    </w:p>
    <w:p w14:paraId="15386992" w14:textId="77777777" w:rsidR="00743B4B" w:rsidRPr="00743B4B" w:rsidRDefault="00743B4B">
      <w:pPr>
        <w:rPr>
          <w:rFonts w:ascii="Bookman Old Style" w:hAnsi="Bookman Old Style"/>
        </w:rPr>
      </w:pPr>
    </w:p>
    <w:sectPr w:rsidR="00743B4B" w:rsidRPr="00743B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aris Campbell" w:date="2022-03-15T12:25:00Z" w:initials="CC">
    <w:p w14:paraId="5FB39CA6" w14:textId="6E51F81D" w:rsidR="00AE5A81" w:rsidRDefault="00AE5A81">
      <w:pPr>
        <w:pStyle w:val="CommentText"/>
      </w:pPr>
      <w:r>
        <w:rPr>
          <w:rStyle w:val="CommentReference"/>
        </w:rPr>
        <w:annotationRef/>
      </w:r>
      <w:r>
        <w:t xml:space="preserve">Review of this provision does not preclude the creation of a form to allow </w:t>
      </w:r>
      <w:r w:rsidR="0027133A">
        <w:t>service by other means by (B)(2) but it does not expressly outline the ability to opt-out of designation by email service</w:t>
      </w:r>
      <w:r w:rsidR="00286B93">
        <w:t>. We agreed to modify our family law rules</w:t>
      </w:r>
    </w:p>
  </w:comment>
  <w:comment w:id="3" w:author="Charis Campbell" w:date="2022-03-15T12:47:00Z" w:initials="CC">
    <w:p w14:paraId="59A85397" w14:textId="4495151A" w:rsidR="00286B93" w:rsidRDefault="00286B93">
      <w:pPr>
        <w:pStyle w:val="CommentText"/>
      </w:pPr>
      <w:r>
        <w:rPr>
          <w:rStyle w:val="CommentReference"/>
        </w:rPr>
        <w:annotationRef/>
      </w:r>
      <w:r>
        <w:t>Propose addition to the rule for RJA to consider adopting</w:t>
      </w:r>
    </w:p>
  </w:comment>
  <w:comment w:id="4" w:author="Charis Campbell" w:date="2022-03-15T12:48:00Z" w:initials="CC">
    <w:p w14:paraId="26576382" w14:textId="2387468C" w:rsidR="00286B93" w:rsidRDefault="00286B93">
      <w:pPr>
        <w:pStyle w:val="CommentText"/>
      </w:pPr>
      <w:r>
        <w:rPr>
          <w:rStyle w:val="CommentReference"/>
        </w:rPr>
        <w:annotationRef/>
      </w:r>
      <w:r>
        <w:t>Added language</w:t>
      </w:r>
    </w:p>
  </w:comment>
  <w:comment w:id="7" w:author="Charis Campbell" w:date="2022-03-15T12:25:00Z" w:initials="CC">
    <w:p w14:paraId="559259A5" w14:textId="13C0DB42" w:rsidR="004E34FE" w:rsidRDefault="004E34FE" w:rsidP="004E34FE">
      <w:pPr>
        <w:pStyle w:val="CommentText"/>
      </w:pPr>
      <w:r>
        <w:rPr>
          <w:rStyle w:val="CommentReference"/>
        </w:rPr>
        <w:annotationRef/>
      </w:r>
      <w:r w:rsidR="00286B93">
        <w:t>We decided to modify our family law rule</w:t>
      </w:r>
      <w:r w:rsidR="00FF4697">
        <w:t xml:space="preserve">. The RJA does not conflict or preclude an opt-out provision. </w:t>
      </w:r>
    </w:p>
  </w:comment>
  <w:comment w:id="8" w:author="Charis Campbell" w:date="2022-03-15T11:57:00Z" w:initials="CC">
    <w:p w14:paraId="569EE06F" w14:textId="056CBCB4" w:rsidR="00CF13EB" w:rsidRDefault="00CF13EB">
      <w:pPr>
        <w:pStyle w:val="CommentText"/>
      </w:pPr>
      <w:r>
        <w:rPr>
          <w:rStyle w:val="CommentReference"/>
        </w:rPr>
        <w:annotationRef/>
      </w:r>
      <w:r w:rsidR="00FF4697">
        <w:t xml:space="preserve">Language is outdated because it does not address electronic uploading and distribution of orders.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39CA6" w15:done="0"/>
  <w15:commentEx w15:paraId="59A85397" w15:done="0"/>
  <w15:commentEx w15:paraId="26576382" w15:done="0"/>
  <w15:commentEx w15:paraId="559259A5" w15:done="0"/>
  <w15:commentEx w15:paraId="569EE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042E" w16cex:dateUtc="2022-03-15T16:25:00Z"/>
  <w16cex:commentExtensible w16cex:durableId="25DB097F" w16cex:dateUtc="2022-03-15T16:47:00Z"/>
  <w16cex:commentExtensible w16cex:durableId="25DB099E" w16cex:dateUtc="2022-03-15T16:48:00Z"/>
  <w16cex:commentExtensible w16cex:durableId="25DB0752" w16cex:dateUtc="2022-03-15T16:25:00Z"/>
  <w16cex:commentExtensible w16cex:durableId="25DAFDAB" w16cex:dateUtc="2022-03-15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39CA6" w16cid:durableId="25DB042E"/>
  <w16cid:commentId w16cid:paraId="59A85397" w16cid:durableId="25DB097F"/>
  <w16cid:commentId w16cid:paraId="26576382" w16cid:durableId="25DB099E"/>
  <w16cid:commentId w16cid:paraId="559259A5" w16cid:durableId="25DB0752"/>
  <w16cid:commentId w16cid:paraId="569EE06F" w16cid:durableId="25DAFD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is Campbell">
    <w15:presenceInfo w15:providerId="Windows Live" w15:userId="4d3d7d2a59500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4B"/>
    <w:rsid w:val="000F3EFE"/>
    <w:rsid w:val="0027133A"/>
    <w:rsid w:val="00286B93"/>
    <w:rsid w:val="004E34FE"/>
    <w:rsid w:val="00743B4B"/>
    <w:rsid w:val="007826D2"/>
    <w:rsid w:val="0089287E"/>
    <w:rsid w:val="00AB0B34"/>
    <w:rsid w:val="00AE5A81"/>
    <w:rsid w:val="00B91638"/>
    <w:rsid w:val="00CF13EB"/>
    <w:rsid w:val="00FF469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EAAC"/>
  <w15:chartTrackingRefBased/>
  <w15:docId w15:val="{CD0ADD62-DD12-46AD-9948-57395CEE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 Paragraph"/>
    <w:basedOn w:val="Normal"/>
    <w:qFormat/>
    <w:rsid w:val="00743B4B"/>
    <w:pPr>
      <w:spacing w:before="280" w:after="280" w:line="240" w:lineRule="auto"/>
      <w:ind w:firstLine="720"/>
    </w:pPr>
    <w:rPr>
      <w:rFonts w:ascii="Arial" w:eastAsia="Calibri" w:hAnsi="Arial" w:cs="Times New Roman"/>
      <w:sz w:val="28"/>
    </w:rPr>
  </w:style>
  <w:style w:type="paragraph" w:customStyle="1" w:styleId="RuleTitleHeadings">
    <w:name w:val="Rule Title Headings"/>
    <w:basedOn w:val="Heading1"/>
    <w:qFormat/>
    <w:rsid w:val="00743B4B"/>
    <w:pPr>
      <w:keepLines w:val="0"/>
      <w:spacing w:before="0" w:after="280" w:line="276" w:lineRule="auto"/>
      <w:ind w:left="2160" w:hanging="2160"/>
    </w:pPr>
    <w:rPr>
      <w:rFonts w:ascii="Arial" w:eastAsia="Times New Roman" w:hAnsi="Arial" w:cs="Times New Roman"/>
      <w:b/>
      <w:bCs/>
      <w:color w:val="auto"/>
      <w:kern w:val="32"/>
      <w:sz w:val="28"/>
    </w:rPr>
  </w:style>
  <w:style w:type="paragraph" w:customStyle="1" w:styleId="Subdivisiona">
    <w:name w:val="Subdivision (a)"/>
    <w:basedOn w:val="Normal"/>
    <w:qFormat/>
    <w:rsid w:val="00743B4B"/>
    <w:pPr>
      <w:spacing w:before="280" w:after="280" w:line="240" w:lineRule="auto"/>
      <w:ind w:firstLine="720"/>
    </w:pPr>
    <w:rPr>
      <w:rFonts w:ascii="Arial" w:eastAsia="Calibri" w:hAnsi="Arial" w:cs="Times New Roman"/>
      <w:sz w:val="28"/>
    </w:rPr>
  </w:style>
  <w:style w:type="character" w:customStyle="1" w:styleId="Bold">
    <w:name w:val="Bold"/>
    <w:uiPriority w:val="1"/>
    <w:qFormat/>
    <w:rsid w:val="00743B4B"/>
    <w:rPr>
      <w:b/>
    </w:rPr>
  </w:style>
  <w:style w:type="character" w:customStyle="1" w:styleId="Normal1">
    <w:name w:val="Normal1"/>
    <w:uiPriority w:val="1"/>
    <w:qFormat/>
    <w:rsid w:val="00743B4B"/>
    <w:rPr>
      <w:b w:val="0"/>
    </w:rPr>
  </w:style>
  <w:style w:type="paragraph" w:customStyle="1" w:styleId="Subdivision1">
    <w:name w:val="Subdivision (1)"/>
    <w:basedOn w:val="DefaultParagraph"/>
    <w:qFormat/>
    <w:rsid w:val="00743B4B"/>
    <w:pPr>
      <w:ind w:firstLine="1440"/>
    </w:pPr>
  </w:style>
  <w:style w:type="paragraph" w:customStyle="1" w:styleId="SubdivisionA0">
    <w:name w:val="Subdivision (A)"/>
    <w:basedOn w:val="Subdivision1"/>
    <w:qFormat/>
    <w:rsid w:val="00743B4B"/>
    <w:pPr>
      <w:ind w:firstLine="2160"/>
    </w:pPr>
  </w:style>
  <w:style w:type="paragraph" w:customStyle="1" w:styleId="Subdivisioni">
    <w:name w:val="Subdivision (i)"/>
    <w:basedOn w:val="SubdivisionA0"/>
    <w:qFormat/>
    <w:rsid w:val="00743B4B"/>
    <w:pPr>
      <w:ind w:firstLine="2880"/>
    </w:pPr>
  </w:style>
  <w:style w:type="paragraph" w:customStyle="1" w:styleId="Signatureblocks-left">
    <w:name w:val="Signature blocks - left"/>
    <w:basedOn w:val="Normal"/>
    <w:qFormat/>
    <w:rsid w:val="00743B4B"/>
    <w:pPr>
      <w:spacing w:before="560" w:after="280" w:line="276" w:lineRule="auto"/>
      <w:ind w:left="5040"/>
      <w:contextualSpacing/>
    </w:pPr>
    <w:rPr>
      <w:rFonts w:ascii="Arial" w:eastAsia="Calibri" w:hAnsi="Arial" w:cs="Times New Roman"/>
      <w:sz w:val="28"/>
    </w:rPr>
  </w:style>
  <w:style w:type="paragraph" w:customStyle="1" w:styleId="Subdivisionnoindent">
    <w:name w:val="Subdivision (no indent)"/>
    <w:basedOn w:val="DefaultParagraph"/>
    <w:qFormat/>
    <w:rsid w:val="00743B4B"/>
    <w:pPr>
      <w:spacing w:before="0"/>
      <w:ind w:firstLine="0"/>
      <w:contextualSpacing/>
    </w:pPr>
  </w:style>
  <w:style w:type="character" w:customStyle="1" w:styleId="Heading1Char">
    <w:name w:val="Heading 1 Char"/>
    <w:basedOn w:val="DefaultParagraphFont"/>
    <w:link w:val="Heading1"/>
    <w:uiPriority w:val="9"/>
    <w:rsid w:val="00743B4B"/>
    <w:rPr>
      <w:rFonts w:asciiTheme="majorHAnsi" w:eastAsiaTheme="majorEastAsia" w:hAnsiTheme="majorHAnsi" w:cstheme="majorBidi"/>
      <w:color w:val="2F5496" w:themeColor="accent1" w:themeShade="BF"/>
      <w:sz w:val="32"/>
      <w:szCs w:val="32"/>
    </w:rPr>
  </w:style>
  <w:style w:type="paragraph" w:customStyle="1" w:styleId="CommitteeNotes">
    <w:name w:val="Committee Notes"/>
    <w:basedOn w:val="DefaultParagraph"/>
    <w:qFormat/>
    <w:rsid w:val="00743B4B"/>
    <w:pPr>
      <w:ind w:firstLine="0"/>
      <w:jc w:val="center"/>
    </w:pPr>
    <w:rPr>
      <w:b/>
      <w:sz w:val="20"/>
    </w:rPr>
  </w:style>
  <w:style w:type="character" w:customStyle="1" w:styleId="Italic">
    <w:name w:val="Italic"/>
    <w:uiPriority w:val="1"/>
    <w:rsid w:val="00743B4B"/>
    <w:rPr>
      <w:b w:val="0"/>
      <w:i/>
      <w:color w:val="auto"/>
    </w:rPr>
  </w:style>
  <w:style w:type="paragraph" w:customStyle="1" w:styleId="LPNotetext">
    <w:name w:val="LP Note text"/>
    <w:basedOn w:val="Normal"/>
    <w:qFormat/>
    <w:rsid w:val="00743B4B"/>
    <w:pPr>
      <w:widowControl w:val="0"/>
      <w:suppressAutoHyphens/>
      <w:autoSpaceDE w:val="0"/>
      <w:autoSpaceDN w:val="0"/>
      <w:adjustRightInd w:val="0"/>
      <w:spacing w:before="200" w:after="200" w:line="240" w:lineRule="auto"/>
      <w:ind w:firstLine="720"/>
      <w:textAlignment w:val="center"/>
    </w:pPr>
    <w:rPr>
      <w:rFonts w:ascii="Arial" w:eastAsia="Times New Roman" w:hAnsi="Arial" w:cs="Times New Roman"/>
      <w:bCs/>
      <w:color w:val="000000"/>
      <w:sz w:val="20"/>
      <w:szCs w:val="16"/>
    </w:rPr>
  </w:style>
  <w:style w:type="paragraph" w:customStyle="1" w:styleId="RulesText1">
    <w:name w:val="Rules Text 1"/>
    <w:basedOn w:val="Normal"/>
    <w:qFormat/>
    <w:rsid w:val="00743B4B"/>
    <w:pPr>
      <w:spacing w:after="280" w:line="240" w:lineRule="auto"/>
      <w:ind w:firstLine="720"/>
    </w:pPr>
    <w:rPr>
      <w:rFonts w:ascii="Times New Roman" w:eastAsia="Times New Roman" w:hAnsi="Times New Roman" w:cs="Times New Roman"/>
      <w:sz w:val="28"/>
    </w:rPr>
  </w:style>
  <w:style w:type="paragraph" w:customStyle="1" w:styleId="RulesCenterText">
    <w:name w:val="Rules Center Text"/>
    <w:basedOn w:val="Normal"/>
    <w:qFormat/>
    <w:rsid w:val="00743B4B"/>
    <w:pPr>
      <w:spacing w:after="200" w:line="240" w:lineRule="auto"/>
      <w:jc w:val="center"/>
    </w:pPr>
    <w:rPr>
      <w:rFonts w:ascii="Times New Roman" w:eastAsia="Times New Roman" w:hAnsi="Times New Roman" w:cs="Times New Roman"/>
      <w:sz w:val="28"/>
    </w:rPr>
  </w:style>
  <w:style w:type="paragraph" w:customStyle="1" w:styleId="RulesTitle">
    <w:name w:val="Rules Title"/>
    <w:basedOn w:val="Heading1"/>
    <w:rsid w:val="00743B4B"/>
    <w:pPr>
      <w:spacing w:before="0" w:after="280" w:line="240" w:lineRule="auto"/>
      <w:ind w:left="2160" w:hanging="2160"/>
    </w:pPr>
    <w:rPr>
      <w:rFonts w:ascii="Times New Roman Bold" w:hAnsi="Times New Roman Bold" w:cs="Times New Roman"/>
      <w:b/>
      <w:bCs/>
      <w:caps/>
      <w:color w:val="auto"/>
      <w:sz w:val="28"/>
      <w:szCs w:val="28"/>
    </w:rPr>
  </w:style>
  <w:style w:type="character" w:customStyle="1" w:styleId="RuleText-Underline">
    <w:name w:val="Rule Text - Underline"/>
    <w:uiPriority w:val="1"/>
    <w:qFormat/>
    <w:rsid w:val="00743B4B"/>
    <w:rPr>
      <w:rFonts w:ascii="Times New Roman" w:hAnsi="Times New Roman"/>
      <w:sz w:val="28"/>
      <w:u w:val="single"/>
    </w:rPr>
  </w:style>
  <w:style w:type="character" w:customStyle="1" w:styleId="RuleText-Bold">
    <w:name w:val="Rule Text - Bold"/>
    <w:uiPriority w:val="1"/>
    <w:qFormat/>
    <w:rsid w:val="00743B4B"/>
    <w:rPr>
      <w:rFonts w:ascii="Times New Roman" w:hAnsi="Times New Roman"/>
      <w:b/>
      <w:sz w:val="28"/>
    </w:rPr>
  </w:style>
  <w:style w:type="paragraph" w:customStyle="1" w:styleId="SubdivisionaText">
    <w:name w:val="Subdivision (a) Text"/>
    <w:link w:val="SubdivisionaTextChar"/>
    <w:qFormat/>
    <w:rsid w:val="00743B4B"/>
    <w:pPr>
      <w:spacing w:before="280" w:after="280" w:line="240" w:lineRule="auto"/>
      <w:ind w:firstLine="720"/>
    </w:pPr>
    <w:rPr>
      <w:rFonts w:ascii="Times New Roman" w:eastAsia="Times New Roman" w:hAnsi="Times New Roman" w:cs="Times New Roman"/>
      <w:sz w:val="28"/>
    </w:rPr>
  </w:style>
  <w:style w:type="character" w:customStyle="1" w:styleId="SubdivisionaTextChar">
    <w:name w:val="Subdivision (a) Text Char"/>
    <w:basedOn w:val="DefaultParagraphFont"/>
    <w:link w:val="SubdivisionaText"/>
    <w:locked/>
    <w:rsid w:val="00743B4B"/>
    <w:rPr>
      <w:rFonts w:ascii="Times New Roman" w:eastAsia="Times New Roman" w:hAnsi="Times New Roman" w:cs="Times New Roman"/>
      <w:sz w:val="28"/>
    </w:rPr>
  </w:style>
  <w:style w:type="paragraph" w:customStyle="1" w:styleId="Subdivision1Text">
    <w:name w:val="Subdivision (1) Text"/>
    <w:link w:val="Subdivision1TextChar"/>
    <w:qFormat/>
    <w:rsid w:val="00743B4B"/>
    <w:pPr>
      <w:spacing w:before="280" w:after="280" w:line="240" w:lineRule="auto"/>
      <w:ind w:firstLine="1440"/>
    </w:pPr>
    <w:rPr>
      <w:rFonts w:ascii="Times New Roman" w:eastAsia="Times New Roman" w:hAnsi="Times New Roman" w:cs="Times New Roman"/>
      <w:sz w:val="28"/>
    </w:rPr>
  </w:style>
  <w:style w:type="character" w:customStyle="1" w:styleId="Subdivision1TextChar">
    <w:name w:val="Subdivision (1) Text Char"/>
    <w:basedOn w:val="DefaultParagraphFont"/>
    <w:link w:val="Subdivision1Text"/>
    <w:locked/>
    <w:rsid w:val="00743B4B"/>
    <w:rPr>
      <w:rFonts w:ascii="Times New Roman" w:eastAsia="Times New Roman" w:hAnsi="Times New Roman" w:cs="Times New Roman"/>
      <w:sz w:val="28"/>
    </w:rPr>
  </w:style>
  <w:style w:type="character" w:customStyle="1" w:styleId="RuleText-Normal">
    <w:name w:val="Rule Text - Normal"/>
    <w:uiPriority w:val="1"/>
    <w:qFormat/>
    <w:rsid w:val="00743B4B"/>
    <w:rPr>
      <w:rFonts w:ascii="Times New Roman" w:hAnsi="Times New Roman"/>
      <w:color w:val="252525"/>
      <w:sz w:val="25"/>
    </w:rPr>
  </w:style>
  <w:style w:type="character" w:customStyle="1" w:styleId="DefaultText">
    <w:name w:val="Default Text"/>
    <w:uiPriority w:val="1"/>
    <w:qFormat/>
    <w:rsid w:val="00743B4B"/>
    <w:rPr>
      <w:rFonts w:ascii="Times New Roman" w:hAnsi="Times New Roman"/>
      <w:sz w:val="28"/>
    </w:rPr>
  </w:style>
  <w:style w:type="character" w:styleId="Strong">
    <w:name w:val="Strong"/>
    <w:basedOn w:val="DefaultParagraphFont"/>
    <w:uiPriority w:val="22"/>
    <w:qFormat/>
    <w:rsid w:val="00743B4B"/>
    <w:rPr>
      <w:rFonts w:cs="Times New Roman"/>
      <w:b/>
      <w:bCs/>
    </w:rPr>
  </w:style>
  <w:style w:type="character" w:styleId="CommentReference">
    <w:name w:val="annotation reference"/>
    <w:basedOn w:val="DefaultParagraphFont"/>
    <w:uiPriority w:val="99"/>
    <w:semiHidden/>
    <w:unhideWhenUsed/>
    <w:rsid w:val="00CF13EB"/>
    <w:rPr>
      <w:sz w:val="16"/>
      <w:szCs w:val="16"/>
    </w:rPr>
  </w:style>
  <w:style w:type="paragraph" w:styleId="CommentText">
    <w:name w:val="annotation text"/>
    <w:basedOn w:val="Normal"/>
    <w:link w:val="CommentTextChar"/>
    <w:uiPriority w:val="99"/>
    <w:semiHidden/>
    <w:unhideWhenUsed/>
    <w:rsid w:val="00CF13EB"/>
    <w:pPr>
      <w:spacing w:line="240" w:lineRule="auto"/>
    </w:pPr>
    <w:rPr>
      <w:sz w:val="20"/>
      <w:szCs w:val="20"/>
    </w:rPr>
  </w:style>
  <w:style w:type="character" w:customStyle="1" w:styleId="CommentTextChar">
    <w:name w:val="Comment Text Char"/>
    <w:basedOn w:val="DefaultParagraphFont"/>
    <w:link w:val="CommentText"/>
    <w:uiPriority w:val="99"/>
    <w:semiHidden/>
    <w:rsid w:val="00CF13EB"/>
    <w:rPr>
      <w:sz w:val="20"/>
      <w:szCs w:val="20"/>
    </w:rPr>
  </w:style>
  <w:style w:type="paragraph" w:styleId="CommentSubject">
    <w:name w:val="annotation subject"/>
    <w:basedOn w:val="CommentText"/>
    <w:next w:val="CommentText"/>
    <w:link w:val="CommentSubjectChar"/>
    <w:uiPriority w:val="99"/>
    <w:semiHidden/>
    <w:unhideWhenUsed/>
    <w:rsid w:val="00CF13EB"/>
    <w:rPr>
      <w:b/>
      <w:bCs/>
    </w:rPr>
  </w:style>
  <w:style w:type="character" w:customStyle="1" w:styleId="CommentSubjectChar">
    <w:name w:val="Comment Subject Char"/>
    <w:basedOn w:val="CommentTextChar"/>
    <w:link w:val="CommentSubject"/>
    <w:uiPriority w:val="99"/>
    <w:semiHidden/>
    <w:rsid w:val="00CF1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8757-D892-483B-91D7-597EAC71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Mikalla</dc:creator>
  <cp:keywords/>
  <dc:description/>
  <cp:lastModifiedBy>Charis Campbell</cp:lastModifiedBy>
  <cp:revision>2</cp:revision>
  <cp:lastPrinted>2022-03-15T15:48:00Z</cp:lastPrinted>
  <dcterms:created xsi:type="dcterms:W3CDTF">2022-03-15T16:53:00Z</dcterms:created>
  <dcterms:modified xsi:type="dcterms:W3CDTF">2022-03-15T16:53:00Z</dcterms:modified>
</cp:coreProperties>
</file>