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A21F0" w14:textId="77777777" w:rsidR="00797D7F" w:rsidRPr="002D1E27" w:rsidRDefault="00797D7F" w:rsidP="00797D7F">
      <w:pPr>
        <w:widowControl w:val="0"/>
        <w:autoSpaceDE w:val="0"/>
        <w:autoSpaceDN w:val="0"/>
        <w:adjustRightInd w:val="0"/>
        <w:spacing w:after="280" w:line="259" w:lineRule="auto"/>
        <w:ind w:firstLine="720"/>
        <w:jc w:val="center"/>
        <w:rPr>
          <w:rFonts w:cs="Times New Roman"/>
          <w:b/>
          <w:color w:val="000000"/>
        </w:rPr>
      </w:pPr>
      <w:bookmarkStart w:id="0" w:name="_GoBack"/>
      <w:bookmarkEnd w:id="0"/>
      <w:r w:rsidRPr="002D1E27">
        <w:rPr>
          <w:rFonts w:cs="Times New Roman"/>
          <w:b/>
          <w:color w:val="000000"/>
        </w:rPr>
        <w:t>416.43</w:t>
      </w:r>
      <w:r w:rsidRPr="002D1E27">
        <w:rPr>
          <w:rFonts w:cs="Times New Roman"/>
          <w:b/>
          <w:color w:val="000000"/>
        </w:rPr>
        <w:tab/>
        <w:t>PIERCING THE CORPORATE VEIL</w:t>
      </w:r>
    </w:p>
    <w:p w14:paraId="1775003B" w14:textId="77777777" w:rsidR="00797D7F" w:rsidRPr="002D1E27" w:rsidRDefault="00797D7F" w:rsidP="00797D7F">
      <w:pPr>
        <w:autoSpaceDE w:val="0"/>
        <w:autoSpaceDN w:val="0"/>
        <w:adjustRightInd w:val="0"/>
        <w:spacing w:after="280"/>
        <w:ind w:firstLine="720"/>
        <w:rPr>
          <w:rFonts w:cs="Times New Roman"/>
          <w:color w:val="000000"/>
        </w:rPr>
      </w:pPr>
      <w:r w:rsidRPr="002D1E27">
        <w:rPr>
          <w:rFonts w:cs="Times New Roman"/>
          <w:b/>
          <w:color w:val="000000"/>
        </w:rPr>
        <w:t xml:space="preserve">A </w:t>
      </w:r>
      <w:r w:rsidRPr="002D1E27">
        <w:rPr>
          <w:rFonts w:cs="Times New Roman"/>
          <w:color w:val="000000"/>
        </w:rPr>
        <w:t>(form of business entity)</w:t>
      </w:r>
      <w:r w:rsidRPr="002D1E27" w:rsidDel="00FE3105">
        <w:rPr>
          <w:rFonts w:cs="Times New Roman"/>
          <w:b/>
          <w:color w:val="000000"/>
        </w:rPr>
        <w:t xml:space="preserve"> </w:t>
      </w:r>
      <w:r w:rsidRPr="002D1E27">
        <w:rPr>
          <w:rFonts w:cs="Times New Roman"/>
          <w:b/>
          <w:color w:val="000000"/>
        </w:rPr>
        <w:t>is a legal entity separate from its owner(s). An owner can be an/a [individual] [</w:t>
      </w:r>
      <w:r w:rsidRPr="002D1E27">
        <w:rPr>
          <w:rFonts w:cs="Times New Roman"/>
          <w:color w:val="000000"/>
        </w:rPr>
        <w:t>(form of business entity)</w:t>
      </w:r>
      <w:r w:rsidRPr="002D1E27">
        <w:rPr>
          <w:rFonts w:cs="Times New Roman"/>
          <w:b/>
          <w:color w:val="000000"/>
        </w:rPr>
        <w:t xml:space="preserve">]. The owner(s) are not liable for the acts of the </w:t>
      </w:r>
      <w:r w:rsidRPr="002D1E27">
        <w:rPr>
          <w:rFonts w:cs="Times New Roman"/>
          <w:color w:val="000000"/>
        </w:rPr>
        <w:t xml:space="preserve">(form of business entity) </w:t>
      </w:r>
      <w:r w:rsidRPr="002D1E27">
        <w:rPr>
          <w:rFonts w:cs="Times New Roman"/>
          <w:b/>
          <w:color w:val="000000"/>
        </w:rPr>
        <w:t xml:space="preserve">unless there is a piercing of the corporate veil. In this case, </w:t>
      </w:r>
      <w:r w:rsidRPr="002D1E27">
        <w:rPr>
          <w:rFonts w:cs="Times New Roman"/>
          <w:color w:val="000000"/>
        </w:rPr>
        <w:t>(claimant)</w:t>
      </w:r>
      <w:r w:rsidRPr="002D1E27">
        <w:rPr>
          <w:rFonts w:cs="Times New Roman"/>
          <w:b/>
          <w:color w:val="000000"/>
        </w:rPr>
        <w:t xml:space="preserve"> seeks to “pierce the corporate veil” between </w:t>
      </w:r>
      <w:r w:rsidRPr="002D1E27">
        <w:rPr>
          <w:rFonts w:cs="Times New Roman"/>
          <w:color w:val="000000"/>
        </w:rPr>
        <w:t>(form of business entity)</w:t>
      </w:r>
      <w:r w:rsidRPr="002D1E27">
        <w:rPr>
          <w:rFonts w:cs="Times New Roman"/>
          <w:b/>
          <w:color w:val="000000"/>
        </w:rPr>
        <w:t xml:space="preserve"> and </w:t>
      </w:r>
      <w:r w:rsidRPr="002D1E27">
        <w:rPr>
          <w:rFonts w:cs="Times New Roman"/>
          <w:color w:val="000000"/>
        </w:rPr>
        <w:t>(owner)</w:t>
      </w:r>
      <w:r w:rsidRPr="002D1E27">
        <w:rPr>
          <w:rFonts w:cs="Times New Roman"/>
          <w:b/>
          <w:color w:val="000000"/>
        </w:rPr>
        <w:t xml:space="preserve"> </w:t>
      </w:r>
      <w:proofErr w:type="gramStart"/>
      <w:r w:rsidRPr="002D1E27">
        <w:rPr>
          <w:rFonts w:cs="Times New Roman"/>
          <w:b/>
          <w:color w:val="000000"/>
        </w:rPr>
        <w:t>so as to</w:t>
      </w:r>
      <w:proofErr w:type="gramEnd"/>
      <w:r w:rsidRPr="002D1E27">
        <w:rPr>
          <w:rFonts w:cs="Times New Roman"/>
          <w:b/>
          <w:color w:val="000000"/>
        </w:rPr>
        <w:t xml:space="preserve"> impose obligations upon </w:t>
      </w:r>
      <w:r w:rsidRPr="002D1E27">
        <w:rPr>
          <w:rFonts w:cs="Times New Roman"/>
          <w:color w:val="000000"/>
        </w:rPr>
        <w:t>(owner)</w:t>
      </w:r>
      <w:r w:rsidRPr="002D1E27">
        <w:rPr>
          <w:rFonts w:cs="Times New Roman"/>
          <w:b/>
          <w:color w:val="000000"/>
        </w:rPr>
        <w:t xml:space="preserve"> that otherwise would be owing, if at all, solely from </w:t>
      </w:r>
      <w:r w:rsidRPr="002D1E27">
        <w:rPr>
          <w:rFonts w:cs="Times New Roman"/>
          <w:color w:val="000000"/>
        </w:rPr>
        <w:t>(form of business entity)</w:t>
      </w:r>
      <w:r w:rsidRPr="002D1E27">
        <w:rPr>
          <w:rFonts w:cs="Times New Roman"/>
          <w:b/>
          <w:color w:val="000000"/>
        </w:rPr>
        <w:t>.</w:t>
      </w:r>
    </w:p>
    <w:p w14:paraId="7E969DA3" w14:textId="77777777" w:rsidR="00797D7F" w:rsidRPr="002D1E27" w:rsidRDefault="00797D7F" w:rsidP="00797D7F">
      <w:pPr>
        <w:autoSpaceDE w:val="0"/>
        <w:autoSpaceDN w:val="0"/>
        <w:adjustRightInd w:val="0"/>
        <w:spacing w:after="280"/>
        <w:ind w:firstLine="720"/>
        <w:rPr>
          <w:rFonts w:cs="Times New Roman"/>
          <w:color w:val="000000"/>
        </w:rPr>
      </w:pPr>
      <w:r w:rsidRPr="002D1E27">
        <w:rPr>
          <w:rFonts w:cs="Times New Roman"/>
          <w:b/>
          <w:color w:val="000000"/>
        </w:rPr>
        <w:t xml:space="preserve">In order to pierce the corporate veil and hold </w:t>
      </w:r>
      <w:r w:rsidRPr="002D1E27">
        <w:rPr>
          <w:rFonts w:cs="Times New Roman"/>
          <w:color w:val="000000"/>
        </w:rPr>
        <w:t>(owner)</w:t>
      </w:r>
      <w:r w:rsidRPr="002D1E27">
        <w:rPr>
          <w:rFonts w:cs="Times New Roman"/>
          <w:b/>
          <w:color w:val="000000"/>
        </w:rPr>
        <w:t xml:space="preserve"> liable for obligations of </w:t>
      </w:r>
      <w:r w:rsidRPr="002D1E27">
        <w:rPr>
          <w:rFonts w:cs="Times New Roman"/>
          <w:color w:val="000000"/>
        </w:rPr>
        <w:t>(form of business entity)</w:t>
      </w:r>
      <w:r w:rsidRPr="002D1E27">
        <w:rPr>
          <w:rFonts w:cs="Times New Roman"/>
          <w:b/>
          <w:color w:val="000000"/>
        </w:rPr>
        <w:t xml:space="preserve">, </w:t>
      </w:r>
      <w:r w:rsidRPr="002D1E27">
        <w:rPr>
          <w:rFonts w:cs="Times New Roman"/>
          <w:color w:val="000000"/>
        </w:rPr>
        <w:t>(claimant)</w:t>
      </w:r>
      <w:r w:rsidRPr="002D1E27">
        <w:rPr>
          <w:rFonts w:cs="Times New Roman"/>
          <w:b/>
          <w:color w:val="000000"/>
        </w:rPr>
        <w:t xml:space="preserve"> must show that:</w:t>
      </w:r>
      <w:r w:rsidRPr="002D1E27">
        <w:rPr>
          <w:rFonts w:cs="Times New Roman"/>
          <w:color w:val="000000"/>
        </w:rPr>
        <w:t xml:space="preserve"> </w:t>
      </w:r>
    </w:p>
    <w:p w14:paraId="732A7DFB" w14:textId="77777777" w:rsidR="00797D7F" w:rsidRPr="002D1E27" w:rsidRDefault="00797D7F" w:rsidP="00797D7F">
      <w:pPr>
        <w:widowControl w:val="0"/>
        <w:autoSpaceDE w:val="0"/>
        <w:autoSpaceDN w:val="0"/>
        <w:adjustRightInd w:val="0"/>
        <w:spacing w:after="280" w:line="259" w:lineRule="auto"/>
        <w:ind w:left="1440" w:right="720" w:hanging="720"/>
        <w:rPr>
          <w:rFonts w:cs="Times New Roman"/>
        </w:rPr>
      </w:pPr>
      <w:r w:rsidRPr="002D1E27">
        <w:rPr>
          <w:rFonts w:cs="Times New Roman"/>
          <w:b/>
        </w:rPr>
        <w:t>1.</w:t>
      </w:r>
      <w:r w:rsidRPr="002D1E27">
        <w:rPr>
          <w:rFonts w:cs="Times New Roman"/>
          <w:b/>
        </w:rPr>
        <w:tab/>
      </w:r>
      <w:r w:rsidRPr="002D1E27">
        <w:rPr>
          <w:rFonts w:cs="Times New Roman"/>
        </w:rPr>
        <w:t>(Owner)</w:t>
      </w:r>
      <w:r w:rsidRPr="002D1E27">
        <w:rPr>
          <w:rFonts w:cs="Times New Roman"/>
          <w:b/>
        </w:rPr>
        <w:t xml:space="preserve"> dominated and controlled </w:t>
      </w:r>
      <w:r w:rsidRPr="002D1E27">
        <w:rPr>
          <w:rFonts w:cs="Times New Roman"/>
        </w:rPr>
        <w:t xml:space="preserve">(form of business entity) </w:t>
      </w:r>
      <w:r w:rsidRPr="002D1E27">
        <w:rPr>
          <w:rFonts w:cs="Times New Roman"/>
          <w:b/>
        </w:rPr>
        <w:t>such that:</w:t>
      </w:r>
    </w:p>
    <w:p w14:paraId="40300B7B" w14:textId="77777777" w:rsidR="00797D7F" w:rsidRPr="002D1E27" w:rsidRDefault="00797D7F" w:rsidP="00797D7F">
      <w:pPr>
        <w:widowControl w:val="0"/>
        <w:autoSpaceDE w:val="0"/>
        <w:autoSpaceDN w:val="0"/>
        <w:adjustRightInd w:val="0"/>
        <w:spacing w:after="280" w:line="259" w:lineRule="auto"/>
        <w:ind w:left="2160" w:right="720" w:hanging="720"/>
        <w:rPr>
          <w:rFonts w:cs="Times New Roman"/>
        </w:rPr>
      </w:pPr>
      <w:r w:rsidRPr="002D1E27">
        <w:rPr>
          <w:rFonts w:cs="Times New Roman"/>
          <w:b/>
        </w:rPr>
        <w:t>a.</w:t>
      </w:r>
      <w:r w:rsidRPr="002D1E27">
        <w:rPr>
          <w:rFonts w:cs="Times New Roman"/>
          <w:b/>
        </w:rPr>
        <w:tab/>
      </w:r>
      <w:r w:rsidRPr="002D1E27">
        <w:rPr>
          <w:rFonts w:cs="Times New Roman"/>
        </w:rPr>
        <w:t>(form of business entity)</w:t>
      </w:r>
      <w:r w:rsidRPr="002D1E27">
        <w:rPr>
          <w:rFonts w:cs="Times New Roman"/>
          <w:b/>
        </w:rPr>
        <w:t>’s separate identity was not sufficiently maintained, and</w:t>
      </w:r>
    </w:p>
    <w:p w14:paraId="0E354CEC" w14:textId="77777777" w:rsidR="00797D7F" w:rsidRPr="002D1E27" w:rsidRDefault="00797D7F" w:rsidP="00797D7F">
      <w:pPr>
        <w:widowControl w:val="0"/>
        <w:autoSpaceDE w:val="0"/>
        <w:autoSpaceDN w:val="0"/>
        <w:adjustRightInd w:val="0"/>
        <w:spacing w:after="280" w:line="259" w:lineRule="auto"/>
        <w:ind w:left="2160" w:right="720" w:hanging="720"/>
        <w:rPr>
          <w:rFonts w:cs="Times New Roman"/>
        </w:rPr>
      </w:pPr>
      <w:r w:rsidRPr="002D1E27">
        <w:rPr>
          <w:rFonts w:cs="Times New Roman"/>
          <w:b/>
        </w:rPr>
        <w:t>b.</w:t>
      </w:r>
      <w:r w:rsidRPr="002D1E27">
        <w:rPr>
          <w:rFonts w:cs="Times New Roman"/>
          <w:b/>
        </w:rPr>
        <w:tab/>
      </w:r>
      <w:r w:rsidRPr="002D1E27">
        <w:rPr>
          <w:rFonts w:cs="Times New Roman"/>
        </w:rPr>
        <w:t>(form of business entity)</w:t>
      </w:r>
      <w:r w:rsidRPr="002D1E27">
        <w:rPr>
          <w:rFonts w:cs="Times New Roman"/>
          <w:b/>
        </w:rPr>
        <w:t xml:space="preserve"> lacked an existence independent from </w:t>
      </w:r>
      <w:r w:rsidRPr="002D1E27">
        <w:rPr>
          <w:rFonts w:cs="Times New Roman"/>
        </w:rPr>
        <w:t>(owner)</w:t>
      </w:r>
      <w:r w:rsidRPr="002D1E27">
        <w:rPr>
          <w:rFonts w:cs="Times New Roman"/>
          <w:b/>
        </w:rPr>
        <w:t>; and</w:t>
      </w:r>
    </w:p>
    <w:p w14:paraId="2DD4A80B" w14:textId="77777777" w:rsidR="00797D7F" w:rsidRPr="002D1E27" w:rsidRDefault="00797D7F" w:rsidP="00797D7F">
      <w:pPr>
        <w:widowControl w:val="0"/>
        <w:autoSpaceDE w:val="0"/>
        <w:autoSpaceDN w:val="0"/>
        <w:adjustRightInd w:val="0"/>
        <w:spacing w:after="280" w:line="259" w:lineRule="auto"/>
        <w:ind w:left="1440" w:right="720" w:hanging="720"/>
        <w:rPr>
          <w:rFonts w:cs="Times New Roman"/>
        </w:rPr>
      </w:pPr>
      <w:r w:rsidRPr="002D1E27">
        <w:rPr>
          <w:rFonts w:cs="Times New Roman"/>
          <w:b/>
        </w:rPr>
        <w:t>2.</w:t>
      </w:r>
      <w:r w:rsidRPr="002D1E27">
        <w:rPr>
          <w:rFonts w:cs="Times New Roman"/>
          <w:b/>
        </w:rPr>
        <w:tab/>
        <w:t xml:space="preserve">The corporate form of </w:t>
      </w:r>
      <w:r w:rsidRPr="002D1E27">
        <w:rPr>
          <w:rFonts w:cs="Times New Roman"/>
        </w:rPr>
        <w:t>(business entity)</w:t>
      </w:r>
      <w:r w:rsidRPr="002D1E27">
        <w:rPr>
          <w:rFonts w:cs="Times New Roman"/>
          <w:b/>
        </w:rPr>
        <w:t xml:space="preserve"> was [formed] [used] for a fraudulent or improper purpose; and</w:t>
      </w:r>
    </w:p>
    <w:p w14:paraId="523F6B36" w14:textId="77777777" w:rsidR="00797D7F" w:rsidRPr="002D1E27" w:rsidRDefault="00797D7F" w:rsidP="00797D7F">
      <w:pPr>
        <w:widowControl w:val="0"/>
        <w:autoSpaceDE w:val="0"/>
        <w:autoSpaceDN w:val="0"/>
        <w:adjustRightInd w:val="0"/>
        <w:spacing w:after="280" w:line="259" w:lineRule="auto"/>
        <w:ind w:left="1440" w:right="720" w:hanging="720"/>
        <w:rPr>
          <w:rFonts w:cs="Times New Roman"/>
        </w:rPr>
      </w:pPr>
      <w:r w:rsidRPr="002D1E27">
        <w:rPr>
          <w:rFonts w:cs="Times New Roman"/>
          <w:b/>
        </w:rPr>
        <w:t>3.</w:t>
      </w:r>
      <w:r w:rsidRPr="002D1E27">
        <w:rPr>
          <w:rFonts w:cs="Times New Roman"/>
          <w:b/>
        </w:rPr>
        <w:tab/>
      </w:r>
      <w:r w:rsidRPr="002D1E27">
        <w:rPr>
          <w:rFonts w:cs="Times New Roman"/>
        </w:rPr>
        <w:t>(Claimant)</w:t>
      </w:r>
      <w:r w:rsidRPr="002D1E27">
        <w:rPr>
          <w:rFonts w:cs="Times New Roman"/>
          <w:b/>
        </w:rPr>
        <w:t xml:space="preserve"> was harmed by the fraudulent or improper [formation] [use] of the corporate form of </w:t>
      </w:r>
      <w:r w:rsidRPr="002D1E27">
        <w:rPr>
          <w:rFonts w:cs="Times New Roman"/>
        </w:rPr>
        <w:t>(business entity)</w:t>
      </w:r>
      <w:r w:rsidRPr="002D1E27">
        <w:rPr>
          <w:rFonts w:cs="Times New Roman"/>
          <w:b/>
        </w:rPr>
        <w:t>.</w:t>
      </w:r>
    </w:p>
    <w:p w14:paraId="6600DFD1" w14:textId="77777777" w:rsidR="00797D7F" w:rsidRPr="002D1E27" w:rsidRDefault="00797D7F" w:rsidP="00797D7F">
      <w:pPr>
        <w:spacing w:after="280"/>
        <w:jc w:val="center"/>
        <w:rPr>
          <w:rFonts w:eastAsia="Calibri" w:cs="Times New Roman"/>
          <w:b/>
        </w:rPr>
      </w:pPr>
      <w:r w:rsidRPr="002D1E27">
        <w:rPr>
          <w:rFonts w:eastAsia="Calibri" w:cs="Times New Roman"/>
          <w:b/>
        </w:rPr>
        <w:t>NOTES ON USE FOR 416.43</w:t>
      </w:r>
    </w:p>
    <w:p w14:paraId="4A972FAA" w14:textId="77777777" w:rsidR="00797D7F" w:rsidRPr="002D1E27" w:rsidRDefault="00797D7F" w:rsidP="00797D7F">
      <w:pPr>
        <w:autoSpaceDE w:val="0"/>
        <w:autoSpaceDN w:val="0"/>
        <w:adjustRightInd w:val="0"/>
        <w:spacing w:after="280" w:line="259" w:lineRule="auto"/>
        <w:ind w:firstLine="720"/>
        <w:rPr>
          <w:rFonts w:cs="Times New Roman"/>
          <w:color w:val="000000"/>
        </w:rPr>
      </w:pPr>
      <w:r w:rsidRPr="002D1E27">
        <w:rPr>
          <w:rFonts w:cs="Times New Roman"/>
          <w:color w:val="000000"/>
        </w:rPr>
        <w:t>1.</w:t>
      </w:r>
      <w:r w:rsidRPr="002D1E27">
        <w:rPr>
          <w:rFonts w:cs="Times New Roman"/>
          <w:color w:val="000000"/>
        </w:rPr>
        <w:tab/>
        <w:t xml:space="preserve">The context of each case dictates what terms should be inserted into the bracketed spaces. Sometimes, plaintiffs or other claimants sue both the business entity and the individual who are the subjects of the veil piercing claim, so the form instruction identifies the defendants as “(form of business entity)” and “owner,” but this may not be appropriate in all cases. There may also be more than one entity or individual in any </w:t>
      </w:r>
      <w:proofErr w:type="gramStart"/>
      <w:r w:rsidRPr="002D1E27">
        <w:rPr>
          <w:rFonts w:cs="Times New Roman"/>
          <w:color w:val="000000"/>
        </w:rPr>
        <w:t>particular case</w:t>
      </w:r>
      <w:proofErr w:type="gramEnd"/>
      <w:r w:rsidRPr="002D1E27">
        <w:rPr>
          <w:rFonts w:cs="Times New Roman"/>
          <w:color w:val="000000"/>
        </w:rPr>
        <w:t>.</w:t>
      </w:r>
    </w:p>
    <w:p w14:paraId="250C6553" w14:textId="77777777" w:rsidR="00797D7F" w:rsidRPr="002D1E27" w:rsidRDefault="00797D7F" w:rsidP="00797D7F">
      <w:pPr>
        <w:autoSpaceDE w:val="0"/>
        <w:autoSpaceDN w:val="0"/>
        <w:adjustRightInd w:val="0"/>
        <w:spacing w:after="280" w:line="259" w:lineRule="auto"/>
        <w:ind w:firstLine="720"/>
        <w:rPr>
          <w:rFonts w:cs="Times New Roman"/>
          <w:color w:val="000000"/>
        </w:rPr>
      </w:pPr>
      <w:r w:rsidRPr="002D1E27">
        <w:rPr>
          <w:rFonts w:cs="Times New Roman"/>
          <w:color w:val="000000"/>
        </w:rPr>
        <w:t>2.</w:t>
      </w:r>
      <w:r w:rsidRPr="002D1E27">
        <w:rPr>
          <w:rFonts w:cs="Times New Roman"/>
          <w:color w:val="000000"/>
        </w:rPr>
        <w:tab/>
        <w:t xml:space="preserve">“The mere fact that one or two individuals own and control the stock structure of a corporation does not lead inevitably to the conclusion that the corporate entity is a fraud or that it is necessarily the alter ego of its stockholders to </w:t>
      </w:r>
      <w:r w:rsidRPr="002D1E27">
        <w:rPr>
          <w:rFonts w:cs="Times New Roman"/>
          <w:color w:val="000000"/>
        </w:rPr>
        <w:lastRenderedPageBreak/>
        <w:t xml:space="preserve">the extent that the debts of the corporation should be imposed upon them personally.” </w:t>
      </w:r>
      <w:r w:rsidRPr="002D1E27">
        <w:rPr>
          <w:rFonts w:cs="Times New Roman"/>
          <w:i/>
          <w:color w:val="000000"/>
        </w:rPr>
        <w:t>Dania Jai-Alai Palace, Inc. v. Sykes</w:t>
      </w:r>
      <w:r w:rsidRPr="002D1E27">
        <w:rPr>
          <w:rFonts w:cs="Times New Roman"/>
          <w:color w:val="000000"/>
        </w:rPr>
        <w:t>, 450 So. 2d 1114, 1120 (Fla. 1984).</w:t>
      </w:r>
    </w:p>
    <w:p w14:paraId="6797EF73" w14:textId="77777777" w:rsidR="00797D7F" w:rsidRPr="002D1E27" w:rsidRDefault="00797D7F" w:rsidP="00797D7F">
      <w:pPr>
        <w:autoSpaceDE w:val="0"/>
        <w:autoSpaceDN w:val="0"/>
        <w:adjustRightInd w:val="0"/>
        <w:spacing w:after="280" w:line="259" w:lineRule="auto"/>
        <w:ind w:firstLine="720"/>
        <w:rPr>
          <w:rFonts w:cs="Times New Roman"/>
          <w:color w:val="000000"/>
        </w:rPr>
      </w:pPr>
      <w:r w:rsidRPr="002D1E27">
        <w:rPr>
          <w:rFonts w:cs="Times New Roman"/>
          <w:color w:val="000000"/>
        </w:rPr>
        <w:t>3.</w:t>
      </w:r>
      <w:r w:rsidRPr="002D1E27">
        <w:rPr>
          <w:rFonts w:cs="Times New Roman"/>
          <w:color w:val="000000"/>
        </w:rPr>
        <w:tab/>
        <w:t xml:space="preserve">Although this doctrine arose in the corporate context, case law appears to apply this doctrine to other business entities such as limited liability companies. See, e.g., </w:t>
      </w:r>
      <w:proofErr w:type="spellStart"/>
      <w:r w:rsidRPr="002D1E27">
        <w:rPr>
          <w:rFonts w:cs="Times New Roman"/>
          <w:i/>
          <w:color w:val="000000"/>
        </w:rPr>
        <w:t>Houri</w:t>
      </w:r>
      <w:proofErr w:type="spellEnd"/>
      <w:r w:rsidRPr="002D1E27">
        <w:rPr>
          <w:rFonts w:cs="Times New Roman"/>
          <w:i/>
          <w:color w:val="000000"/>
        </w:rPr>
        <w:t xml:space="preserve"> v. </w:t>
      </w:r>
      <w:proofErr w:type="spellStart"/>
      <w:r w:rsidRPr="002D1E27">
        <w:rPr>
          <w:rFonts w:cs="Times New Roman"/>
          <w:i/>
          <w:color w:val="000000"/>
        </w:rPr>
        <w:t>Boaziz</w:t>
      </w:r>
      <w:proofErr w:type="spellEnd"/>
      <w:r w:rsidRPr="002D1E27">
        <w:rPr>
          <w:rFonts w:cs="Times New Roman"/>
          <w:color w:val="000000"/>
        </w:rPr>
        <w:t>, 196 So. 3d 383 (Fla. 3d DCA 2016) (discussing piercing the veil of limited liability companies).</w:t>
      </w:r>
    </w:p>
    <w:p w14:paraId="4ACA07DC" w14:textId="77777777" w:rsidR="00797D7F" w:rsidRPr="002D1E27" w:rsidRDefault="00797D7F" w:rsidP="00797D7F">
      <w:pPr>
        <w:spacing w:after="280"/>
        <w:jc w:val="center"/>
        <w:rPr>
          <w:rFonts w:eastAsia="Calibri" w:cs="Times New Roman"/>
          <w:b/>
        </w:rPr>
      </w:pPr>
      <w:r w:rsidRPr="002D1E27">
        <w:rPr>
          <w:rFonts w:eastAsia="Calibri" w:cs="Times New Roman"/>
          <w:b/>
        </w:rPr>
        <w:t>SOURCES AND AUTHORITIES FOR 416.43</w:t>
      </w:r>
    </w:p>
    <w:p w14:paraId="439C7124" w14:textId="77777777" w:rsidR="00797D7F" w:rsidRDefault="00797D7F" w:rsidP="00797D7F">
      <w:pPr>
        <w:autoSpaceDE w:val="0"/>
        <w:autoSpaceDN w:val="0"/>
        <w:adjustRightInd w:val="0"/>
        <w:spacing w:after="280" w:line="259" w:lineRule="auto"/>
        <w:ind w:firstLine="720"/>
        <w:rPr>
          <w:rFonts w:cs="Times New Roman"/>
          <w:color w:val="000000"/>
        </w:rPr>
      </w:pPr>
      <w:r w:rsidRPr="002D1E27">
        <w:rPr>
          <w:rFonts w:cs="Times New Roman"/>
          <w:i/>
          <w:color w:val="000000"/>
        </w:rPr>
        <w:t>Dania Jai-Alai Palace, Inc. v. Sykes</w:t>
      </w:r>
      <w:r w:rsidRPr="002D1E27">
        <w:rPr>
          <w:rFonts w:cs="Times New Roman"/>
          <w:color w:val="000000"/>
        </w:rPr>
        <w:t xml:space="preserve">, 450 So. 2d 1114, 1120 (Fla. 1984) (citing </w:t>
      </w:r>
      <w:proofErr w:type="spellStart"/>
      <w:r w:rsidRPr="002D1E27">
        <w:rPr>
          <w:rFonts w:cs="Times New Roman"/>
          <w:i/>
          <w:color w:val="000000"/>
        </w:rPr>
        <w:t>Advertects</w:t>
      </w:r>
      <w:proofErr w:type="spellEnd"/>
      <w:r w:rsidRPr="002D1E27">
        <w:rPr>
          <w:rFonts w:cs="Times New Roman"/>
          <w:i/>
          <w:color w:val="000000"/>
        </w:rPr>
        <w:t xml:space="preserve"> v. Sawyer Industries, Inc.</w:t>
      </w:r>
      <w:r w:rsidRPr="002D1E27">
        <w:rPr>
          <w:rFonts w:cs="Times New Roman"/>
          <w:color w:val="000000"/>
        </w:rPr>
        <w:t xml:space="preserve">, 84 So. 2d 21, 23, 24 (Fla. 1955)), is the seminal case on this topic; </w:t>
      </w:r>
      <w:r w:rsidRPr="002D1E27">
        <w:rPr>
          <w:rFonts w:cs="Times New Roman"/>
          <w:i/>
          <w:color w:val="000000"/>
        </w:rPr>
        <w:t xml:space="preserve">Beltran v. </w:t>
      </w:r>
      <w:proofErr w:type="spellStart"/>
      <w:r w:rsidRPr="002D1E27">
        <w:rPr>
          <w:rFonts w:cs="Times New Roman"/>
          <w:i/>
          <w:color w:val="000000"/>
        </w:rPr>
        <w:t>Miraglia</w:t>
      </w:r>
      <w:proofErr w:type="spellEnd"/>
      <w:r w:rsidRPr="002D1E27">
        <w:rPr>
          <w:rFonts w:cs="Times New Roman"/>
          <w:color w:val="000000"/>
        </w:rPr>
        <w:t xml:space="preserve">, 125 So. 3d 855 (Fla. 4th DCA 2013) (causality of harm arose from improper conduct of the defendant); </w:t>
      </w:r>
      <w:r w:rsidRPr="002D1E27">
        <w:rPr>
          <w:rFonts w:cs="Times New Roman"/>
          <w:i/>
          <w:color w:val="000000"/>
        </w:rPr>
        <w:t xml:space="preserve">Gasparini v. </w:t>
      </w:r>
      <w:proofErr w:type="spellStart"/>
      <w:r w:rsidRPr="002D1E27">
        <w:rPr>
          <w:rFonts w:cs="Times New Roman"/>
          <w:i/>
          <w:color w:val="000000"/>
        </w:rPr>
        <w:t>Pordomingo</w:t>
      </w:r>
      <w:proofErr w:type="spellEnd"/>
      <w:r w:rsidRPr="002D1E27">
        <w:rPr>
          <w:rFonts w:cs="Times New Roman"/>
          <w:color w:val="000000"/>
        </w:rPr>
        <w:t xml:space="preserve">, 972 So. 2d 1053 (Fla. 3d DCA 2008) (only one or few owners would not permit piercing of corporate veil even if it were the alter ego of the shareholder); </w:t>
      </w:r>
      <w:r w:rsidRPr="002D1E27">
        <w:rPr>
          <w:rFonts w:cs="Times New Roman"/>
          <w:i/>
          <w:color w:val="000000"/>
        </w:rPr>
        <w:t>Steinhardt v. Banks</w:t>
      </w:r>
      <w:r w:rsidRPr="002D1E27">
        <w:rPr>
          <w:rFonts w:cs="Times New Roman"/>
          <w:color w:val="000000"/>
        </w:rPr>
        <w:t>, 511 So. 2d 336 (Fla. 4th DCA 1987) (illegal purpose, fraud, or evading existing obligations).</w:t>
      </w:r>
    </w:p>
    <w:p w14:paraId="123F2692" w14:textId="77777777" w:rsidR="00797D7F" w:rsidRDefault="00797D7F"/>
    <w:sectPr w:rsidR="00797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7F"/>
    <w:rsid w:val="00797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EA0E"/>
  <w15:chartTrackingRefBased/>
  <w15:docId w15:val="{BD47FD56-4505-45F5-8B66-21464B9F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D7F"/>
    <w:pPr>
      <w:spacing w:after="0" w:line="240" w:lineRule="auto"/>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Mikalla</dc:creator>
  <cp:keywords/>
  <dc:description/>
  <cp:lastModifiedBy>Davis, Mikalla</cp:lastModifiedBy>
  <cp:revision>1</cp:revision>
  <dcterms:created xsi:type="dcterms:W3CDTF">2019-01-04T19:44:00Z</dcterms:created>
  <dcterms:modified xsi:type="dcterms:W3CDTF">2019-01-04T19:45:00Z</dcterms:modified>
</cp:coreProperties>
</file>