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39C30" w14:textId="77777777" w:rsidR="000C153A" w:rsidRPr="002D1E27" w:rsidRDefault="000C153A" w:rsidP="000C153A">
      <w:pPr>
        <w:widowControl w:val="0"/>
        <w:autoSpaceDE w:val="0"/>
        <w:autoSpaceDN w:val="0"/>
        <w:adjustRightInd w:val="0"/>
        <w:spacing w:after="280" w:line="259" w:lineRule="auto"/>
        <w:ind w:firstLine="720"/>
        <w:jc w:val="center"/>
        <w:rPr>
          <w:rFonts w:cs="Times New Roman"/>
          <w:b/>
          <w:color w:val="000000"/>
        </w:rPr>
      </w:pPr>
      <w:bookmarkStart w:id="0" w:name="_GoBack"/>
      <w:bookmarkEnd w:id="0"/>
      <w:r w:rsidRPr="002D1E27">
        <w:rPr>
          <w:rFonts w:cs="Times New Roman"/>
          <w:b/>
          <w:color w:val="000000"/>
          <w:spacing w:val="1"/>
        </w:rPr>
        <w:t>416</w:t>
      </w:r>
      <w:r w:rsidRPr="002D1E27">
        <w:rPr>
          <w:rFonts w:cs="Times New Roman"/>
          <w:b/>
          <w:color w:val="000000"/>
        </w:rPr>
        <w:t>.46</w:t>
      </w:r>
      <w:r w:rsidRPr="002D1E27">
        <w:rPr>
          <w:rFonts w:cs="Times New Roman"/>
          <w:b/>
          <w:color w:val="000000"/>
        </w:rPr>
        <w:tab/>
        <w:t>PROMISSORY ESTOPPEL</w:t>
      </w:r>
    </w:p>
    <w:p w14:paraId="056B8F58" w14:textId="77777777" w:rsidR="000C153A" w:rsidRPr="002D1E27" w:rsidRDefault="000C153A" w:rsidP="000C153A">
      <w:pPr>
        <w:spacing w:after="280"/>
        <w:ind w:firstLine="720"/>
        <w:rPr>
          <w:rFonts w:eastAsia="Calibri" w:cs="Times New Roman"/>
          <w:b/>
        </w:rPr>
      </w:pPr>
      <w:bookmarkStart w:id="1" w:name="_Hlk511717266"/>
      <w:r w:rsidRPr="002D1E27">
        <w:rPr>
          <w:rFonts w:eastAsia="Calibri" w:cs="Times New Roman"/>
          <w:b/>
        </w:rPr>
        <w:t xml:space="preserve">A party who has not entered a contract to do something, but who has promised to do something, sometimes has a legal obligation to fulfill the promise, but only when specific conditions are met. This is sometimes called “promissory estoppel.” To recover damages from </w:t>
      </w:r>
      <w:r w:rsidRPr="002D1E27">
        <w:rPr>
          <w:rFonts w:eastAsia="Calibri" w:cs="Times New Roman"/>
        </w:rPr>
        <w:t>(defendant)</w:t>
      </w:r>
      <w:r w:rsidRPr="002D1E27">
        <w:rPr>
          <w:rFonts w:eastAsia="Calibri" w:cs="Times New Roman"/>
          <w:b/>
        </w:rPr>
        <w:t xml:space="preserve"> for promissory estoppel, </w:t>
      </w:r>
      <w:r w:rsidRPr="002D1E27">
        <w:rPr>
          <w:rFonts w:eastAsia="Calibri" w:cs="Times New Roman"/>
        </w:rPr>
        <w:t>(claimant)</w:t>
      </w:r>
      <w:r w:rsidRPr="002D1E27">
        <w:rPr>
          <w:rFonts w:eastAsia="Calibri" w:cs="Times New Roman"/>
          <w:b/>
        </w:rPr>
        <w:t xml:space="preserve"> must prove </w:t>
      </w:r>
      <w:proofErr w:type="gramStart"/>
      <w:r w:rsidRPr="002D1E27">
        <w:rPr>
          <w:rFonts w:eastAsia="Calibri" w:cs="Times New Roman"/>
          <w:b/>
        </w:rPr>
        <w:t>all of</w:t>
      </w:r>
      <w:proofErr w:type="gramEnd"/>
      <w:r w:rsidRPr="002D1E27">
        <w:rPr>
          <w:rFonts w:eastAsia="Calibri" w:cs="Times New Roman"/>
          <w:b/>
        </w:rPr>
        <w:t xml:space="preserve"> the following:</w:t>
      </w:r>
    </w:p>
    <w:p w14:paraId="0A66D566" w14:textId="77777777" w:rsidR="000C153A" w:rsidRPr="002D1E27" w:rsidRDefault="000C153A" w:rsidP="000C153A">
      <w:pPr>
        <w:widowControl w:val="0"/>
        <w:autoSpaceDE w:val="0"/>
        <w:autoSpaceDN w:val="0"/>
        <w:adjustRightInd w:val="0"/>
        <w:spacing w:after="280" w:line="259" w:lineRule="auto"/>
        <w:ind w:left="1440" w:right="720" w:hanging="720"/>
        <w:rPr>
          <w:rFonts w:cs="Times New Roman"/>
          <w:b/>
        </w:rPr>
      </w:pPr>
      <w:r w:rsidRPr="002D1E27">
        <w:rPr>
          <w:rFonts w:cs="Times New Roman"/>
          <w:b/>
        </w:rPr>
        <w:t>1.</w:t>
      </w:r>
      <w:r w:rsidRPr="002D1E27">
        <w:rPr>
          <w:rFonts w:cs="Times New Roman"/>
          <w:b/>
        </w:rPr>
        <w:tab/>
      </w:r>
      <w:r w:rsidRPr="002D1E27">
        <w:rPr>
          <w:rFonts w:cs="Times New Roman"/>
        </w:rPr>
        <w:t>(Defendant)</w:t>
      </w:r>
      <w:r w:rsidRPr="002D1E27">
        <w:rPr>
          <w:rFonts w:cs="Times New Roman"/>
          <w:b/>
        </w:rPr>
        <w:t xml:space="preserve"> promised to [describe subject matter of alleged promise];</w:t>
      </w:r>
    </w:p>
    <w:p w14:paraId="261566E6" w14:textId="77777777" w:rsidR="000C153A" w:rsidRPr="002D1E27" w:rsidRDefault="000C153A" w:rsidP="000C153A">
      <w:pPr>
        <w:widowControl w:val="0"/>
        <w:autoSpaceDE w:val="0"/>
        <w:autoSpaceDN w:val="0"/>
        <w:adjustRightInd w:val="0"/>
        <w:spacing w:after="280" w:line="259" w:lineRule="auto"/>
        <w:ind w:left="1440" w:right="720" w:hanging="720"/>
        <w:rPr>
          <w:rFonts w:cs="Times New Roman"/>
          <w:b/>
        </w:rPr>
      </w:pPr>
      <w:r w:rsidRPr="002D1E27">
        <w:rPr>
          <w:rFonts w:cs="Times New Roman"/>
          <w:b/>
        </w:rPr>
        <w:t>2.</w:t>
      </w:r>
      <w:r w:rsidRPr="002D1E27">
        <w:rPr>
          <w:rFonts w:cs="Times New Roman"/>
          <w:b/>
        </w:rPr>
        <w:tab/>
      </w:r>
      <w:r w:rsidRPr="002D1E27">
        <w:rPr>
          <w:rFonts w:cs="Times New Roman"/>
        </w:rPr>
        <w:t>(Defendant)</w:t>
      </w:r>
      <w:r w:rsidRPr="002D1E27">
        <w:rPr>
          <w:rFonts w:cs="Times New Roman"/>
          <w:b/>
        </w:rPr>
        <w:t xml:space="preserve"> should have expected the promise to change </w:t>
      </w:r>
      <w:r w:rsidRPr="002D1E27">
        <w:rPr>
          <w:rFonts w:cs="Times New Roman"/>
        </w:rPr>
        <w:t>(claimant)</w:t>
      </w:r>
      <w:r w:rsidRPr="002D1E27">
        <w:rPr>
          <w:rFonts w:cs="Times New Roman"/>
          <w:b/>
        </w:rPr>
        <w:t>’s behavior;</w:t>
      </w:r>
    </w:p>
    <w:p w14:paraId="1E194BEA" w14:textId="77777777" w:rsidR="000C153A" w:rsidRPr="002D1E27" w:rsidRDefault="000C153A" w:rsidP="000C153A">
      <w:pPr>
        <w:widowControl w:val="0"/>
        <w:autoSpaceDE w:val="0"/>
        <w:autoSpaceDN w:val="0"/>
        <w:adjustRightInd w:val="0"/>
        <w:spacing w:after="280" w:line="259" w:lineRule="auto"/>
        <w:ind w:left="1440" w:right="720" w:hanging="720"/>
        <w:rPr>
          <w:rFonts w:cs="Times New Roman"/>
          <w:b/>
        </w:rPr>
      </w:pPr>
      <w:r w:rsidRPr="002D1E27">
        <w:rPr>
          <w:rFonts w:cs="Times New Roman"/>
          <w:b/>
        </w:rPr>
        <w:t>3.</w:t>
      </w:r>
      <w:r w:rsidRPr="002D1E27">
        <w:rPr>
          <w:rFonts w:cs="Times New Roman"/>
          <w:b/>
        </w:rPr>
        <w:tab/>
        <w:t xml:space="preserve">In reliance on </w:t>
      </w:r>
      <w:r w:rsidRPr="002D1E27">
        <w:rPr>
          <w:rFonts w:cs="Times New Roman"/>
        </w:rPr>
        <w:t>(defendant)</w:t>
      </w:r>
      <w:r w:rsidRPr="002D1E27">
        <w:rPr>
          <w:rFonts w:cs="Times New Roman"/>
          <w:b/>
        </w:rPr>
        <w:t xml:space="preserve">’s promise, </w:t>
      </w:r>
      <w:r w:rsidRPr="002D1E27">
        <w:rPr>
          <w:rFonts w:cs="Times New Roman"/>
        </w:rPr>
        <w:t>(claimant)</w:t>
      </w:r>
      <w:r w:rsidRPr="002D1E27">
        <w:rPr>
          <w:rFonts w:cs="Times New Roman"/>
          <w:b/>
        </w:rPr>
        <w:t xml:space="preserve"> changed [his] [her] [its] behavior; and</w:t>
      </w:r>
    </w:p>
    <w:p w14:paraId="4B8218FD" w14:textId="77777777" w:rsidR="000C153A" w:rsidRPr="002D1E27" w:rsidRDefault="000C153A" w:rsidP="000C153A">
      <w:pPr>
        <w:widowControl w:val="0"/>
        <w:autoSpaceDE w:val="0"/>
        <w:autoSpaceDN w:val="0"/>
        <w:adjustRightInd w:val="0"/>
        <w:spacing w:after="280" w:line="259" w:lineRule="auto"/>
        <w:ind w:left="1440" w:right="720" w:hanging="720"/>
        <w:rPr>
          <w:rFonts w:cs="Times New Roman"/>
          <w:b/>
        </w:rPr>
      </w:pPr>
      <w:r w:rsidRPr="002D1E27">
        <w:rPr>
          <w:rFonts w:cs="Times New Roman"/>
          <w:b/>
        </w:rPr>
        <w:t>4.</w:t>
      </w:r>
      <w:r w:rsidRPr="002D1E27">
        <w:rPr>
          <w:rFonts w:cs="Times New Roman"/>
          <w:b/>
        </w:rPr>
        <w:tab/>
        <w:t>Injustice can be avoided only if the promise is enforced.</w:t>
      </w:r>
    </w:p>
    <w:p w14:paraId="5905789A" w14:textId="77777777" w:rsidR="000C153A" w:rsidRPr="002D1E27" w:rsidRDefault="000C153A" w:rsidP="000C153A">
      <w:pPr>
        <w:autoSpaceDE w:val="0"/>
        <w:autoSpaceDN w:val="0"/>
        <w:adjustRightInd w:val="0"/>
        <w:spacing w:after="280"/>
        <w:ind w:firstLine="720"/>
        <w:rPr>
          <w:rFonts w:cs="Times New Roman"/>
          <w:b/>
          <w:color w:val="000000"/>
        </w:rPr>
      </w:pPr>
      <w:r w:rsidRPr="002D1E27">
        <w:rPr>
          <w:rFonts w:cs="Times New Roman"/>
          <w:b/>
          <w:color w:val="000000"/>
        </w:rPr>
        <w:t>To “change behavior” means to do something of significance that the person otherwise would not have done, or to refrain from doing something of significance that the person otherwise would have done.</w:t>
      </w:r>
    </w:p>
    <w:p w14:paraId="41F08BDB" w14:textId="77777777" w:rsidR="000C153A" w:rsidRPr="002D1E27" w:rsidRDefault="000C153A" w:rsidP="000C153A">
      <w:pPr>
        <w:autoSpaceDE w:val="0"/>
        <w:autoSpaceDN w:val="0"/>
        <w:adjustRightInd w:val="0"/>
        <w:spacing w:after="280"/>
        <w:ind w:firstLine="720"/>
        <w:rPr>
          <w:rFonts w:cs="Times New Roman"/>
          <w:b/>
          <w:color w:val="000000"/>
        </w:rPr>
      </w:pPr>
      <w:r w:rsidRPr="002D1E27">
        <w:rPr>
          <w:rFonts w:cs="Times New Roman"/>
          <w:b/>
          <w:color w:val="000000"/>
        </w:rPr>
        <w:t xml:space="preserve">A claim of this kind must be proved by clear and convincing evidence, not just by the greater weight of the evidence. Your verdict will be for </w:t>
      </w:r>
      <w:r w:rsidRPr="002D1E27">
        <w:rPr>
          <w:rFonts w:cs="Times New Roman"/>
          <w:color w:val="000000"/>
        </w:rPr>
        <w:t>(claimant)</w:t>
      </w:r>
      <w:r w:rsidRPr="002D1E27">
        <w:rPr>
          <w:rFonts w:cs="Times New Roman"/>
          <w:b/>
          <w:color w:val="000000"/>
        </w:rPr>
        <w:t xml:space="preserve"> on this claim only if you find by clear and </w:t>
      </w:r>
      <w:bookmarkEnd w:id="1"/>
      <w:r w:rsidRPr="002D1E27">
        <w:rPr>
          <w:rFonts w:cs="Times New Roman"/>
          <w:b/>
          <w:color w:val="000000"/>
        </w:rPr>
        <w:t>convincing evidence each of the elements that I just described to you.</w:t>
      </w:r>
    </w:p>
    <w:p w14:paraId="44321737" w14:textId="77777777" w:rsidR="000C153A" w:rsidRPr="002D1E27" w:rsidRDefault="000C153A" w:rsidP="000C153A">
      <w:pPr>
        <w:widowControl w:val="0"/>
        <w:autoSpaceDE w:val="0"/>
        <w:autoSpaceDN w:val="0"/>
        <w:adjustRightInd w:val="0"/>
        <w:spacing w:after="280" w:line="259" w:lineRule="auto"/>
        <w:ind w:firstLine="720"/>
        <w:jc w:val="center"/>
        <w:rPr>
          <w:rFonts w:cs="Times New Roman"/>
          <w:b/>
          <w:color w:val="000000"/>
        </w:rPr>
      </w:pPr>
      <w:bookmarkStart w:id="2" w:name="_Hlk511989111"/>
      <w:bookmarkStart w:id="3" w:name="_Hlk511718822"/>
      <w:r w:rsidRPr="002D1E27">
        <w:rPr>
          <w:rFonts w:cs="Times New Roman"/>
          <w:b/>
          <w:color w:val="000000"/>
        </w:rPr>
        <w:t>NOTES ON USE FOR 416.46</w:t>
      </w:r>
    </w:p>
    <w:p w14:paraId="50B17DD5" w14:textId="77777777" w:rsidR="000C153A" w:rsidRPr="002D1E27" w:rsidRDefault="000C153A" w:rsidP="000C153A">
      <w:pPr>
        <w:autoSpaceDE w:val="0"/>
        <w:autoSpaceDN w:val="0"/>
        <w:adjustRightInd w:val="0"/>
        <w:spacing w:after="280" w:line="259" w:lineRule="auto"/>
        <w:ind w:firstLine="720"/>
        <w:rPr>
          <w:rFonts w:cs="Times New Roman"/>
          <w:color w:val="000000"/>
        </w:rPr>
      </w:pPr>
      <w:bookmarkStart w:id="4" w:name="_Hlk511718769"/>
      <w:bookmarkEnd w:id="2"/>
      <w:r w:rsidRPr="002D1E27">
        <w:rPr>
          <w:rFonts w:cs="Times New Roman"/>
          <w:color w:val="000000"/>
        </w:rPr>
        <w:t>1.</w:t>
      </w:r>
      <w:r w:rsidRPr="002D1E27">
        <w:rPr>
          <w:rFonts w:cs="Times New Roman"/>
          <w:color w:val="000000"/>
        </w:rPr>
        <w:tab/>
        <w:t>The definition of the clear and convincing evidence standard is set forth in Standard Jury Instruction—Civil 405.4.</w:t>
      </w:r>
    </w:p>
    <w:p w14:paraId="443540F3" w14:textId="77777777" w:rsidR="000C153A" w:rsidRPr="002D1E27" w:rsidRDefault="000C153A" w:rsidP="000C153A">
      <w:pPr>
        <w:autoSpaceDE w:val="0"/>
        <w:autoSpaceDN w:val="0"/>
        <w:adjustRightInd w:val="0"/>
        <w:spacing w:after="280" w:line="259" w:lineRule="auto"/>
        <w:ind w:firstLine="720"/>
        <w:rPr>
          <w:rFonts w:cs="Times New Roman"/>
          <w:color w:val="000000"/>
        </w:rPr>
      </w:pPr>
      <w:r w:rsidRPr="002D1E27">
        <w:rPr>
          <w:rFonts w:cs="Times New Roman"/>
          <w:color w:val="000000"/>
        </w:rPr>
        <w:t>2.</w:t>
      </w:r>
      <w:r w:rsidRPr="002D1E27">
        <w:rPr>
          <w:rFonts w:cs="Times New Roman"/>
          <w:color w:val="000000"/>
        </w:rPr>
        <w:tab/>
        <w:t xml:space="preserve">No Florida court has directly decided the issue of whether the court or a jury should decide the issues related to a promissory estoppel claim; however, there are several Florida appellate decisions that have indicated that it is appropriate to submit such a claim to a jury. See, </w:t>
      </w:r>
      <w:r w:rsidRPr="002D1E27">
        <w:rPr>
          <w:rFonts w:cs="Times New Roman"/>
          <w:i/>
          <w:color w:val="000000"/>
        </w:rPr>
        <w:t>e.g</w:t>
      </w:r>
      <w:r w:rsidRPr="002D1E27">
        <w:rPr>
          <w:rFonts w:cs="Times New Roman"/>
          <w:color w:val="000000"/>
        </w:rPr>
        <w:t xml:space="preserve">., </w:t>
      </w:r>
      <w:r w:rsidRPr="002D1E27">
        <w:rPr>
          <w:rFonts w:cs="Times New Roman"/>
          <w:i/>
          <w:color w:val="000000"/>
        </w:rPr>
        <w:t>Sunshine Bottling Co. v. Tropicana Prods. Inc</w:t>
      </w:r>
      <w:r w:rsidRPr="002D1E27">
        <w:rPr>
          <w:rFonts w:cs="Times New Roman"/>
          <w:color w:val="000000"/>
        </w:rPr>
        <w:t xml:space="preserve">., 757 So. 2d 1231, 1232 (Fla. 3d DCA 2000) (concluding that trial court erred in entering a judgment notwithstanding the verdict and reversing and remanding for reinstatement of the jury’s award on the promissory </w:t>
      </w:r>
      <w:r w:rsidRPr="002D1E27">
        <w:rPr>
          <w:rFonts w:cs="Times New Roman"/>
          <w:color w:val="000000"/>
        </w:rPr>
        <w:lastRenderedPageBreak/>
        <w:t xml:space="preserve">estoppel claim); </w:t>
      </w:r>
      <w:r w:rsidRPr="002D1E27">
        <w:rPr>
          <w:rFonts w:cs="Times New Roman"/>
          <w:i/>
          <w:color w:val="000000"/>
        </w:rPr>
        <w:t>W.R. Townsend Contracting, Inc. v. Jensen Civil Constr., Inc</w:t>
      </w:r>
      <w:r w:rsidRPr="002D1E27">
        <w:rPr>
          <w:rFonts w:cs="Times New Roman"/>
          <w:color w:val="000000"/>
        </w:rPr>
        <w:t>., 728 So. 2d 297, 306 (Fla. 1st DCA 1999) (reversing order dismissing promissory estoppel claim and remanding with instructions for a jury trial).</w:t>
      </w:r>
    </w:p>
    <w:p w14:paraId="4A098BAF" w14:textId="77777777" w:rsidR="000C153A" w:rsidRPr="002D1E27" w:rsidRDefault="000C153A" w:rsidP="000C153A">
      <w:pPr>
        <w:widowControl w:val="0"/>
        <w:autoSpaceDE w:val="0"/>
        <w:autoSpaceDN w:val="0"/>
        <w:adjustRightInd w:val="0"/>
        <w:spacing w:after="280" w:line="259" w:lineRule="auto"/>
        <w:ind w:firstLine="720"/>
        <w:jc w:val="center"/>
        <w:rPr>
          <w:rFonts w:cs="Times New Roman"/>
          <w:b/>
          <w:color w:val="000000"/>
        </w:rPr>
      </w:pPr>
      <w:bookmarkStart w:id="5" w:name="_Hlk511995635"/>
      <w:bookmarkEnd w:id="3"/>
      <w:bookmarkEnd w:id="4"/>
      <w:r w:rsidRPr="002D1E27">
        <w:rPr>
          <w:rFonts w:cs="Times New Roman"/>
          <w:b/>
          <w:color w:val="000000"/>
        </w:rPr>
        <w:t>SOURCES AND AUTHORITIES FOR 416.46</w:t>
      </w:r>
    </w:p>
    <w:bookmarkEnd w:id="5"/>
    <w:p w14:paraId="6B409782" w14:textId="77777777" w:rsidR="000C153A" w:rsidRPr="002D1E27" w:rsidRDefault="000C153A" w:rsidP="000C153A">
      <w:pPr>
        <w:autoSpaceDE w:val="0"/>
        <w:autoSpaceDN w:val="0"/>
        <w:adjustRightInd w:val="0"/>
        <w:spacing w:after="280" w:line="259" w:lineRule="auto"/>
        <w:ind w:firstLine="720"/>
        <w:rPr>
          <w:rFonts w:cs="Times New Roman"/>
          <w:color w:val="000000"/>
        </w:rPr>
      </w:pPr>
      <w:r w:rsidRPr="002D1E27">
        <w:rPr>
          <w:rFonts w:cs="Times New Roman"/>
          <w:color w:val="000000"/>
        </w:rPr>
        <w:t>1.</w:t>
      </w:r>
      <w:r w:rsidRPr="002D1E27">
        <w:rPr>
          <w:rFonts w:cs="Times New Roman"/>
          <w:color w:val="000000"/>
        </w:rPr>
        <w:tab/>
        <w:t xml:space="preserve">The Florida Supreme Court recognized the existence of an affirmative cause of action for promissory estoppel in </w:t>
      </w:r>
      <w:r w:rsidRPr="002D1E27">
        <w:rPr>
          <w:rFonts w:cs="Times New Roman"/>
          <w:i/>
          <w:color w:val="000000"/>
        </w:rPr>
        <w:t>W.R. Grace &amp; Co. v. Geodata Servs., Inc</w:t>
      </w:r>
      <w:r w:rsidRPr="002D1E27">
        <w:rPr>
          <w:rFonts w:cs="Times New Roman"/>
          <w:color w:val="000000"/>
        </w:rPr>
        <w:t xml:space="preserve">., 547 So. 2d 919 (Fla. 1989). The Court held that the doctrine applies “where the promise is definite, of a substantial nature, and established by clear and convincing evidence.” </w:t>
      </w:r>
      <w:r w:rsidRPr="002D1E27">
        <w:rPr>
          <w:rFonts w:cs="Times New Roman"/>
          <w:i/>
          <w:color w:val="000000"/>
        </w:rPr>
        <w:t>Id</w:t>
      </w:r>
      <w:r w:rsidRPr="002D1E27">
        <w:rPr>
          <w:rFonts w:cs="Times New Roman"/>
          <w:color w:val="000000"/>
        </w:rPr>
        <w:t xml:space="preserve">. at 920. The Court further stated that “[t]he basic elements of promissory estoppel are set forth in Restatement (Second) of Contracts sec. 90 (1979),” and quoted the following from the Restatement: “A promise which the promisor should reasonably expect to induce action or forbearance on the part of the promise or a third person and which does induce such action or forbearance is binding if injustice can be avoided only by enforcement of the promise.” </w:t>
      </w:r>
      <w:r w:rsidRPr="002D1E27">
        <w:rPr>
          <w:rFonts w:cs="Times New Roman"/>
          <w:i/>
          <w:color w:val="000000"/>
        </w:rPr>
        <w:t>Id</w:t>
      </w:r>
      <w:r w:rsidRPr="002D1E27">
        <w:rPr>
          <w:rFonts w:cs="Times New Roman"/>
          <w:color w:val="000000"/>
        </w:rPr>
        <w:t>. at 924. But see</w:t>
      </w:r>
      <w:r w:rsidRPr="002D1E27">
        <w:rPr>
          <w:rFonts w:cs="Times New Roman"/>
          <w:i/>
          <w:color w:val="000000"/>
        </w:rPr>
        <w:t>,</w:t>
      </w:r>
      <w:r w:rsidRPr="002D1E27">
        <w:rPr>
          <w:rFonts w:cs="Times New Roman"/>
          <w:color w:val="000000"/>
        </w:rPr>
        <w:t xml:space="preserve"> </w:t>
      </w:r>
      <w:r w:rsidRPr="002D1E27">
        <w:rPr>
          <w:rFonts w:cs="Times New Roman"/>
          <w:i/>
          <w:color w:val="000000"/>
        </w:rPr>
        <w:t xml:space="preserve">State, Dep’t of Health and Rehabilitative Servs. v. Law Offices of Donald W. </w:t>
      </w:r>
      <w:proofErr w:type="spellStart"/>
      <w:r w:rsidRPr="002D1E27">
        <w:rPr>
          <w:rFonts w:cs="Times New Roman"/>
          <w:i/>
          <w:color w:val="000000"/>
        </w:rPr>
        <w:t>Belveal</w:t>
      </w:r>
      <w:proofErr w:type="spellEnd"/>
      <w:r w:rsidRPr="002D1E27">
        <w:rPr>
          <w:rFonts w:cs="Times New Roman"/>
          <w:color w:val="000000"/>
        </w:rPr>
        <w:t>, 663 So. 2d 650, 652 (Fla. 2d DCA 1995) (“The law of this state recognizes that the theory of promissory estoppel applies to the sovereign only under exceptional circumstances.”).</w:t>
      </w:r>
    </w:p>
    <w:p w14:paraId="28013563" w14:textId="77777777" w:rsidR="000C153A" w:rsidRPr="002D1E27" w:rsidRDefault="000C153A" w:rsidP="000C153A">
      <w:pPr>
        <w:autoSpaceDE w:val="0"/>
        <w:autoSpaceDN w:val="0"/>
        <w:adjustRightInd w:val="0"/>
        <w:spacing w:after="280" w:line="259" w:lineRule="auto"/>
        <w:ind w:firstLine="720"/>
        <w:rPr>
          <w:rFonts w:cs="Times New Roman"/>
          <w:color w:val="000000"/>
        </w:rPr>
      </w:pPr>
      <w:r w:rsidRPr="002D1E27">
        <w:rPr>
          <w:rFonts w:cs="Times New Roman"/>
          <w:color w:val="000000"/>
        </w:rPr>
        <w:t>2.</w:t>
      </w:r>
      <w:r w:rsidRPr="002D1E27">
        <w:rPr>
          <w:rFonts w:cs="Times New Roman"/>
          <w:color w:val="000000"/>
        </w:rPr>
        <w:tab/>
        <w:t xml:space="preserve">In </w:t>
      </w:r>
      <w:r w:rsidRPr="002D1E27">
        <w:rPr>
          <w:rFonts w:cs="Times New Roman"/>
          <w:i/>
          <w:color w:val="000000"/>
        </w:rPr>
        <w:t>Doe v. Univision Television Grp., Inc</w:t>
      </w:r>
      <w:r w:rsidRPr="002D1E27">
        <w:rPr>
          <w:rFonts w:cs="Times New Roman"/>
          <w:color w:val="000000"/>
        </w:rPr>
        <w:t>., 717 So. 2d 63, 65 (Fla. 3d DCA 1998), the court held that “the doctrine of promissory estoppel comes into play where the requisites of contract are not met, yet the promise should be enforced to avoid injustice.”</w:t>
      </w:r>
    </w:p>
    <w:p w14:paraId="5169E4D1" w14:textId="77777777" w:rsidR="000C153A" w:rsidRDefault="000C153A" w:rsidP="000C153A">
      <w:pPr>
        <w:autoSpaceDE w:val="0"/>
        <w:autoSpaceDN w:val="0"/>
        <w:adjustRightInd w:val="0"/>
        <w:spacing w:after="280" w:line="259" w:lineRule="auto"/>
        <w:ind w:firstLine="720"/>
        <w:rPr>
          <w:rFonts w:cs="Times New Roman"/>
          <w:color w:val="000000"/>
        </w:rPr>
      </w:pPr>
      <w:r w:rsidRPr="002D1E27">
        <w:rPr>
          <w:rFonts w:cs="Times New Roman"/>
          <w:color w:val="000000"/>
        </w:rPr>
        <w:t>3.</w:t>
      </w:r>
      <w:r w:rsidRPr="002D1E27">
        <w:rPr>
          <w:rFonts w:cs="Times New Roman"/>
          <w:color w:val="000000"/>
        </w:rPr>
        <w:tab/>
        <w:t xml:space="preserve">A cause of action for promissory estoppel is not available where the claim would be barred by the statute of frauds. </w:t>
      </w:r>
      <w:r w:rsidRPr="002D1E27">
        <w:rPr>
          <w:rFonts w:cs="Times New Roman"/>
          <w:i/>
          <w:color w:val="000000"/>
        </w:rPr>
        <w:t xml:space="preserve">Coral Reef Drive Land Dev., LLC v. Duke Realty Ltd. </w:t>
      </w:r>
      <w:proofErr w:type="spellStart"/>
      <w:r w:rsidRPr="002D1E27">
        <w:rPr>
          <w:rFonts w:cs="Times New Roman"/>
          <w:i/>
          <w:color w:val="000000"/>
        </w:rPr>
        <w:t>P’ship</w:t>
      </w:r>
      <w:proofErr w:type="spellEnd"/>
      <w:r w:rsidRPr="002D1E27">
        <w:rPr>
          <w:rFonts w:cs="Times New Roman"/>
          <w:color w:val="000000"/>
        </w:rPr>
        <w:t xml:space="preserve">, 45 So. 3d 897, 906 n. 8 (Cope, J., dissenting), citing </w:t>
      </w:r>
      <w:r w:rsidRPr="002D1E27">
        <w:rPr>
          <w:rFonts w:cs="Times New Roman"/>
          <w:i/>
          <w:color w:val="000000"/>
        </w:rPr>
        <w:t>Tannenbaum v. Biscayne Osteopathic Hosp., Inc</w:t>
      </w:r>
      <w:r w:rsidRPr="002D1E27">
        <w:rPr>
          <w:rFonts w:cs="Times New Roman"/>
          <w:color w:val="000000"/>
        </w:rPr>
        <w:t>., 190 So. 2d 777, 779 (Fla. 1966).</w:t>
      </w:r>
    </w:p>
    <w:p w14:paraId="13D62FE8" w14:textId="77777777" w:rsidR="000C153A" w:rsidRDefault="000C153A"/>
    <w:sectPr w:rsidR="000C1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53A"/>
    <w:rsid w:val="000C1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3A8DD"/>
  <w15:chartTrackingRefBased/>
  <w15:docId w15:val="{A7A0C559-9D28-47B8-9675-21C1DF42E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53A"/>
    <w:pPr>
      <w:spacing w:after="0" w:line="240" w:lineRule="auto"/>
    </w:pPr>
    <w:rPr>
      <w:rFonts w:ascii="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Mikalla</dc:creator>
  <cp:keywords/>
  <dc:description/>
  <cp:lastModifiedBy>Davis, Mikalla</cp:lastModifiedBy>
  <cp:revision>1</cp:revision>
  <dcterms:created xsi:type="dcterms:W3CDTF">2019-01-04T19:46:00Z</dcterms:created>
  <dcterms:modified xsi:type="dcterms:W3CDTF">2019-01-04T19:48:00Z</dcterms:modified>
</cp:coreProperties>
</file>