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8D5F" w14:textId="77777777" w:rsidR="008B019D" w:rsidRPr="00401816" w:rsidRDefault="008B019D" w:rsidP="008B019D">
      <w:pPr>
        <w:ind w:right="-360"/>
        <w:jc w:val="both"/>
        <w:rPr>
          <w:rFonts w:ascii="Bookman Old Style" w:hAnsi="Bookman Old Style"/>
        </w:rPr>
      </w:pPr>
    </w:p>
    <w:p w14:paraId="7B7D332D" w14:textId="77777777" w:rsidR="008B019D" w:rsidRPr="00401816" w:rsidRDefault="008B019D" w:rsidP="008B019D">
      <w:pPr>
        <w:ind w:right="-360"/>
        <w:jc w:val="center"/>
        <w:rPr>
          <w:rFonts w:ascii="Bookman Old Style" w:hAnsi="Bookman Old Style"/>
          <w:b/>
          <w:bCs/>
        </w:rPr>
      </w:pPr>
      <w:r w:rsidRPr="00401816">
        <w:rPr>
          <w:rFonts w:ascii="Bookman Old Style" w:hAnsi="Bookman Old Style"/>
          <w:b/>
          <w:bCs/>
        </w:rPr>
        <w:t>408.11 TORTIOUS INTERFERENCE DAMAGES</w:t>
      </w:r>
    </w:p>
    <w:p w14:paraId="0D2131FF" w14:textId="77777777" w:rsidR="008B019D" w:rsidRPr="00401816" w:rsidRDefault="008B019D" w:rsidP="008B019D">
      <w:pPr>
        <w:jc w:val="both"/>
        <w:rPr>
          <w:rFonts w:ascii="Bookman Old Style" w:hAnsi="Bookman Old Style"/>
          <w:b/>
          <w:bCs/>
        </w:rPr>
      </w:pPr>
    </w:p>
    <w:p w14:paraId="4D87C5CC" w14:textId="77777777" w:rsidR="008B019D" w:rsidRPr="00401816" w:rsidRDefault="008B019D" w:rsidP="008B019D">
      <w:pPr>
        <w:ind w:firstLine="720"/>
        <w:jc w:val="both"/>
        <w:rPr>
          <w:rFonts w:ascii="Bookman Old Style" w:hAnsi="Bookman Old Style"/>
          <w:b/>
          <w:bCs/>
        </w:rPr>
      </w:pPr>
      <w:r w:rsidRPr="00401816">
        <w:rPr>
          <w:rFonts w:ascii="Bookman Old Style" w:hAnsi="Bookman Old Style"/>
          <w:b/>
          <w:bCs/>
        </w:rPr>
        <w:t>If you find for</w:t>
      </w:r>
      <w:r w:rsidRPr="00401816">
        <w:rPr>
          <w:rFonts w:ascii="Bookman Old Style" w:hAnsi="Bookman Old Style"/>
          <w:bCs/>
        </w:rPr>
        <w:t xml:space="preserve"> (defendant)</w:t>
      </w:r>
      <w:r w:rsidRPr="00401816">
        <w:rPr>
          <w:rFonts w:ascii="Bookman Old Style" w:hAnsi="Bookman Old Style"/>
          <w:b/>
          <w:bCs/>
        </w:rPr>
        <w:t>, you will not consider the matter of damages. But, if you find for</w:t>
      </w:r>
      <w:r w:rsidRPr="00401816">
        <w:rPr>
          <w:rFonts w:ascii="Bookman Old Style" w:hAnsi="Bookman Old Style"/>
          <w:bCs/>
        </w:rPr>
        <w:t xml:space="preserve"> (claimant)</w:t>
      </w:r>
      <w:r w:rsidRPr="00401816">
        <w:rPr>
          <w:rFonts w:ascii="Bookman Old Style" w:hAnsi="Bookman Old Style"/>
          <w:b/>
          <w:bCs/>
        </w:rPr>
        <w:t>, you should award</w:t>
      </w:r>
      <w:r w:rsidRPr="00401816">
        <w:rPr>
          <w:rFonts w:ascii="Bookman Old Style" w:hAnsi="Bookman Old Style"/>
          <w:bCs/>
        </w:rPr>
        <w:t xml:space="preserve"> (claimant) </w:t>
      </w:r>
      <w:r w:rsidRPr="00401816">
        <w:rPr>
          <w:rFonts w:ascii="Bookman Old Style" w:hAnsi="Bookman Old Style"/>
          <w:b/>
          <w:bCs/>
        </w:rPr>
        <w:t>an amount of money that the greater weight of the evidence shows will fairly and adequately compensate</w:t>
      </w:r>
      <w:r w:rsidRPr="00401816">
        <w:rPr>
          <w:rFonts w:ascii="Bookman Old Style" w:hAnsi="Bookman Old Style"/>
          <w:bCs/>
        </w:rPr>
        <w:t xml:space="preserve"> (claimant) </w:t>
      </w:r>
      <w:r w:rsidRPr="00401816">
        <w:rPr>
          <w:rFonts w:ascii="Bookman Old Style" w:hAnsi="Bookman Old Style"/>
          <w:b/>
          <w:bCs/>
        </w:rPr>
        <w:t xml:space="preserve">for such [loss] [or] [damage] as the greater weight of the evidence shows was caused by the </w:t>
      </w:r>
      <w:r w:rsidRPr="00401816">
        <w:rPr>
          <w:rFonts w:ascii="Bookman Old Style" w:hAnsi="Bookman Old Style"/>
        </w:rPr>
        <w:t>(defendant’s)</w:t>
      </w:r>
      <w:r w:rsidRPr="00401816">
        <w:rPr>
          <w:rFonts w:ascii="Bookman Old Style" w:hAnsi="Bookman Old Style"/>
          <w:b/>
          <w:bCs/>
        </w:rPr>
        <w:t xml:space="preserve"> interference with the [contractual relationship] [business relation].</w:t>
      </w:r>
    </w:p>
    <w:p w14:paraId="6CBC0BDB" w14:textId="77777777" w:rsidR="008B019D" w:rsidRPr="00401816" w:rsidRDefault="008B019D" w:rsidP="008B019D">
      <w:pPr>
        <w:ind w:firstLine="720"/>
        <w:jc w:val="both"/>
        <w:rPr>
          <w:rFonts w:ascii="Bookman Old Style" w:hAnsi="Bookman Old Style"/>
          <w:b/>
          <w:bCs/>
        </w:rPr>
      </w:pPr>
    </w:p>
    <w:p w14:paraId="051FCE38" w14:textId="77777777" w:rsidR="008B019D" w:rsidRPr="00401816" w:rsidRDefault="008B019D" w:rsidP="008B019D">
      <w:pPr>
        <w:ind w:firstLine="720"/>
        <w:jc w:val="both"/>
        <w:rPr>
          <w:rFonts w:ascii="Bookman Old Style" w:hAnsi="Bookman Old Style"/>
          <w:b/>
          <w:bCs/>
        </w:rPr>
      </w:pPr>
      <w:r w:rsidRPr="00401816">
        <w:rPr>
          <w:rFonts w:ascii="Bookman Old Style" w:hAnsi="Bookman Old Style"/>
          <w:b/>
          <w:bCs/>
        </w:rPr>
        <w:t>If you find for</w:t>
      </w:r>
      <w:r w:rsidRPr="00401816">
        <w:rPr>
          <w:rFonts w:ascii="Bookman Old Style" w:hAnsi="Bookman Old Style"/>
          <w:bCs/>
        </w:rPr>
        <w:t xml:space="preserve"> (claimant)</w:t>
      </w:r>
      <w:r w:rsidRPr="00401816">
        <w:rPr>
          <w:rFonts w:ascii="Bookman Old Style" w:hAnsi="Bookman Old Style"/>
          <w:b/>
          <w:bCs/>
        </w:rPr>
        <w:t>, you shall consider the following elements of damage:</w:t>
      </w:r>
    </w:p>
    <w:p w14:paraId="3036DEFC" w14:textId="77777777" w:rsidR="008B019D" w:rsidRPr="00401816" w:rsidRDefault="008B019D" w:rsidP="008B019D">
      <w:pPr>
        <w:jc w:val="both"/>
        <w:rPr>
          <w:rFonts w:ascii="Bookman Old Style" w:hAnsi="Bookman Old Style"/>
          <w:b/>
          <w:bCs/>
        </w:rPr>
      </w:pPr>
    </w:p>
    <w:p w14:paraId="44153C91" w14:textId="77777777" w:rsidR="008B019D" w:rsidRPr="00401816" w:rsidRDefault="008B019D" w:rsidP="008B019D">
      <w:pPr>
        <w:jc w:val="both"/>
        <w:rPr>
          <w:rFonts w:ascii="Bookman Old Style" w:hAnsi="Bookman Old Style"/>
          <w:bCs/>
          <w:i/>
          <w:iCs/>
        </w:rPr>
      </w:pPr>
      <w:r w:rsidRPr="00401816">
        <w:rPr>
          <w:rFonts w:ascii="Bookman Old Style" w:hAnsi="Bookman Old Style"/>
          <w:bCs/>
          <w:i/>
          <w:iCs/>
        </w:rPr>
        <w:t xml:space="preserve">Proceed to Section 500 of these instructions and the Contract and Business Jury Instructions for applicable elements of damage, other appropriate damage instructions, and instructions on punitive damages, if applicable. </w:t>
      </w:r>
    </w:p>
    <w:p w14:paraId="7DC16A67" w14:textId="77777777" w:rsidR="008B019D" w:rsidRPr="00401816" w:rsidRDefault="008B019D" w:rsidP="008B019D">
      <w:pPr>
        <w:jc w:val="both"/>
        <w:rPr>
          <w:rFonts w:ascii="Bookman Old Style" w:hAnsi="Bookman Old Style"/>
          <w:bCs/>
          <w:i/>
          <w:iCs/>
        </w:rPr>
      </w:pPr>
    </w:p>
    <w:p w14:paraId="001BE88F" w14:textId="77777777" w:rsidR="008B019D" w:rsidRPr="00401816" w:rsidRDefault="008B019D" w:rsidP="008B019D">
      <w:pPr>
        <w:jc w:val="center"/>
        <w:rPr>
          <w:rFonts w:ascii="Bookman Old Style" w:hAnsi="Bookman Old Style"/>
        </w:rPr>
      </w:pPr>
      <w:r w:rsidRPr="00401816">
        <w:rPr>
          <w:rFonts w:ascii="Bookman Old Style" w:hAnsi="Bookman Old Style"/>
        </w:rPr>
        <w:t>NOTE ON USE FOR 408.11</w:t>
      </w:r>
    </w:p>
    <w:p w14:paraId="49B5623B" w14:textId="77777777" w:rsidR="008B019D" w:rsidRPr="00401816" w:rsidRDefault="008B019D" w:rsidP="008B019D">
      <w:pPr>
        <w:jc w:val="both"/>
        <w:rPr>
          <w:rFonts w:ascii="Bookman Old Style" w:hAnsi="Bookman Old Style"/>
        </w:rPr>
      </w:pPr>
    </w:p>
    <w:p w14:paraId="4E8658B0" w14:textId="77777777" w:rsidR="008B019D" w:rsidRPr="00401816" w:rsidRDefault="008B019D" w:rsidP="008B019D">
      <w:pPr>
        <w:tabs>
          <w:tab w:val="left" w:pos="1170"/>
        </w:tabs>
        <w:ind w:firstLine="540"/>
        <w:jc w:val="both"/>
        <w:rPr>
          <w:rFonts w:ascii="Bookman Old Style" w:hAnsi="Bookman Old Style"/>
        </w:rPr>
      </w:pPr>
      <w:r w:rsidRPr="00401816">
        <w:rPr>
          <w:rFonts w:ascii="Bookman Old Style" w:hAnsi="Bookman Old Style"/>
        </w:rPr>
        <w:t>1.</w:t>
      </w:r>
      <w:r w:rsidRPr="00401816">
        <w:rPr>
          <w:rFonts w:ascii="Bookman Old Style" w:hAnsi="Bookman Old Style"/>
        </w:rPr>
        <w:tab/>
        <w:t xml:space="preserve">The Supreme Court of Florida stated that the claimant in </w:t>
      </w:r>
      <w:r w:rsidRPr="00401816">
        <w:rPr>
          <w:rFonts w:ascii="Bookman Old Style" w:hAnsi="Bookman Old Style"/>
          <w:i/>
          <w:iCs/>
        </w:rPr>
        <w:t>Ethan Allen, Inc. v. Georgetown Manor, Inc.</w:t>
      </w:r>
      <w:r w:rsidRPr="00401816">
        <w:rPr>
          <w:rFonts w:ascii="Bookman Old Style" w:hAnsi="Bookman Old Style"/>
        </w:rPr>
        <w:t xml:space="preserve">, 647 So. 2d 812 (Fla. 1984), was entitled to the damages “reasonably flowing” from the defendant’s interference with the claimant’s existing business relationships. </w:t>
      </w:r>
      <w:r w:rsidRPr="00401816">
        <w:rPr>
          <w:rFonts w:ascii="Bookman Old Style" w:hAnsi="Bookman Old Style"/>
          <w:i/>
          <w:iCs/>
        </w:rPr>
        <w:t xml:space="preserve">Id. </w:t>
      </w:r>
      <w:r w:rsidRPr="00401816">
        <w:rPr>
          <w:rFonts w:ascii="Bookman Old Style" w:hAnsi="Bookman Old Style"/>
        </w:rPr>
        <w:t xml:space="preserve">at 815. Florida caselaw, however, does not delineate the types of damages that are recoverable for tortious interference claims.  </w:t>
      </w:r>
    </w:p>
    <w:p w14:paraId="13052557" w14:textId="77777777" w:rsidR="008B019D" w:rsidRPr="00401816" w:rsidRDefault="008B019D" w:rsidP="008B019D">
      <w:pPr>
        <w:ind w:firstLine="720"/>
        <w:jc w:val="both"/>
        <w:rPr>
          <w:rFonts w:ascii="Bookman Old Style" w:hAnsi="Bookman Old Style"/>
        </w:rPr>
      </w:pPr>
    </w:p>
    <w:p w14:paraId="4776466F" w14:textId="77777777" w:rsidR="008B019D" w:rsidRPr="00401816" w:rsidRDefault="008B019D" w:rsidP="008B019D">
      <w:pPr>
        <w:ind w:firstLine="720"/>
        <w:jc w:val="both"/>
        <w:rPr>
          <w:rFonts w:ascii="Bookman Old Style" w:hAnsi="Bookman Old Style"/>
        </w:rPr>
      </w:pPr>
      <w:r w:rsidRPr="00401816">
        <w:rPr>
          <w:rFonts w:ascii="Bookman Old Style" w:hAnsi="Bookman Old Style"/>
        </w:rPr>
        <w:t>2.</w:t>
      </w:r>
      <w:r w:rsidRPr="00401816">
        <w:rPr>
          <w:rFonts w:ascii="Bookman Old Style" w:hAnsi="Bookman Old Style"/>
        </w:rPr>
        <w:tab/>
        <w:t xml:space="preserve">The committee takes no position on the types of recoverable damages for tortious interference claims. One view is expressed by the </w:t>
      </w:r>
      <w:r w:rsidRPr="00401816">
        <w:rPr>
          <w:rFonts w:ascii="Bookman Old Style" w:hAnsi="Bookman Old Style"/>
          <w:smallCaps/>
        </w:rPr>
        <w:t>Restatement (2d) of Torts</w:t>
      </w:r>
      <w:r w:rsidRPr="00401816">
        <w:rPr>
          <w:rFonts w:ascii="Bookman Old Style" w:hAnsi="Bookman Old Style"/>
        </w:rPr>
        <w:t xml:space="preserve"> § 774A. It provides for recovery of:</w:t>
      </w:r>
    </w:p>
    <w:p w14:paraId="1F78E346" w14:textId="77777777" w:rsidR="008B019D" w:rsidRPr="00401816" w:rsidRDefault="008B019D" w:rsidP="008B019D">
      <w:pPr>
        <w:jc w:val="both"/>
        <w:rPr>
          <w:rFonts w:ascii="Bookman Old Style" w:hAnsi="Bookman Old Style"/>
        </w:rPr>
      </w:pPr>
    </w:p>
    <w:p w14:paraId="7BB3AAD3" w14:textId="77777777" w:rsidR="008B019D" w:rsidRPr="00401816" w:rsidRDefault="008B019D" w:rsidP="008B019D">
      <w:pPr>
        <w:ind w:left="1890" w:hanging="720"/>
        <w:jc w:val="both"/>
        <w:rPr>
          <w:rFonts w:ascii="Bookman Old Style" w:hAnsi="Bookman Old Style"/>
        </w:rPr>
      </w:pPr>
      <w:r w:rsidRPr="00401816">
        <w:rPr>
          <w:rFonts w:ascii="Bookman Old Style" w:hAnsi="Bookman Old Style"/>
        </w:rPr>
        <w:t>(a)</w:t>
      </w:r>
      <w:r w:rsidRPr="00401816">
        <w:rPr>
          <w:rFonts w:ascii="Bookman Old Style" w:hAnsi="Bookman Old Style"/>
        </w:rPr>
        <w:tab/>
        <w:t>the pecuniary loss of the benefits of the contract or the prospective relation;</w:t>
      </w:r>
    </w:p>
    <w:p w14:paraId="36AD5BE9" w14:textId="77777777" w:rsidR="008B019D" w:rsidRPr="00401816" w:rsidRDefault="008B019D" w:rsidP="008B019D">
      <w:pPr>
        <w:ind w:left="1890" w:hanging="720"/>
        <w:jc w:val="both"/>
        <w:rPr>
          <w:rFonts w:ascii="Bookman Old Style" w:hAnsi="Bookman Old Style"/>
        </w:rPr>
      </w:pPr>
    </w:p>
    <w:p w14:paraId="33ABCBD8" w14:textId="77777777" w:rsidR="008B019D" w:rsidRPr="00401816" w:rsidRDefault="008B019D" w:rsidP="008B019D">
      <w:pPr>
        <w:ind w:left="1890" w:hanging="720"/>
        <w:jc w:val="both"/>
        <w:rPr>
          <w:rFonts w:ascii="Bookman Old Style" w:hAnsi="Bookman Old Style"/>
        </w:rPr>
      </w:pPr>
      <w:r w:rsidRPr="00401816">
        <w:rPr>
          <w:rFonts w:ascii="Bookman Old Style" w:hAnsi="Bookman Old Style"/>
        </w:rPr>
        <w:t>(b)</w:t>
      </w:r>
      <w:r w:rsidRPr="00401816">
        <w:rPr>
          <w:rFonts w:ascii="Bookman Old Style" w:hAnsi="Bookman Old Style"/>
        </w:rPr>
        <w:tab/>
        <w:t>consequential losses for which the interference is a legal cause; and</w:t>
      </w:r>
    </w:p>
    <w:p w14:paraId="60B7DAE9" w14:textId="77777777" w:rsidR="008B019D" w:rsidRPr="00401816" w:rsidRDefault="008B019D" w:rsidP="008B019D">
      <w:pPr>
        <w:ind w:left="1890" w:hanging="720"/>
        <w:jc w:val="both"/>
        <w:rPr>
          <w:rFonts w:ascii="Bookman Old Style" w:hAnsi="Bookman Old Style"/>
        </w:rPr>
      </w:pPr>
    </w:p>
    <w:p w14:paraId="0855F464" w14:textId="77777777" w:rsidR="008B019D" w:rsidRPr="00401816" w:rsidRDefault="008B019D" w:rsidP="008B019D">
      <w:pPr>
        <w:ind w:left="1890" w:hanging="720"/>
        <w:jc w:val="both"/>
        <w:rPr>
          <w:rFonts w:ascii="Bookman Old Style" w:hAnsi="Bookman Old Style"/>
        </w:rPr>
      </w:pPr>
      <w:bookmarkStart w:id="0" w:name="_Hlk88484000"/>
      <w:r w:rsidRPr="00401816">
        <w:rPr>
          <w:rFonts w:ascii="Bookman Old Style" w:hAnsi="Bookman Old Style"/>
        </w:rPr>
        <w:t>(c)</w:t>
      </w:r>
      <w:r w:rsidRPr="00401816">
        <w:rPr>
          <w:rFonts w:ascii="Bookman Old Style" w:hAnsi="Bookman Old Style"/>
        </w:rPr>
        <w:tab/>
        <w:t>actual harm to reputation, if it is reasonably to be expected to result from the interference.</w:t>
      </w:r>
    </w:p>
    <w:bookmarkEnd w:id="0"/>
    <w:p w14:paraId="648D4857" w14:textId="77777777" w:rsidR="008B019D" w:rsidRPr="00401816" w:rsidRDefault="008B019D" w:rsidP="008B019D">
      <w:pPr>
        <w:jc w:val="both"/>
        <w:rPr>
          <w:rFonts w:ascii="Bookman Old Style" w:hAnsi="Bookman Old Style"/>
        </w:rPr>
      </w:pPr>
    </w:p>
    <w:p w14:paraId="1B1D0B4C" w14:textId="62A89BDE" w:rsidR="008B019D" w:rsidRPr="00401816" w:rsidRDefault="008B019D" w:rsidP="008B019D">
      <w:pPr>
        <w:ind w:firstLine="720"/>
        <w:jc w:val="both"/>
        <w:rPr>
          <w:rFonts w:ascii="Bookman Old Style" w:hAnsi="Bookman Old Style"/>
        </w:rPr>
      </w:pPr>
      <w:r w:rsidRPr="00401816">
        <w:rPr>
          <w:rFonts w:ascii="Bookman Old Style" w:hAnsi="Bookman Old Style"/>
        </w:rPr>
        <w:t xml:space="preserve">Moreover, subsection 774A(d) explains that the action for interference with contract is one in tort and damages are not based on contract rules, </w:t>
      </w:r>
      <w:r w:rsidRPr="00401816">
        <w:rPr>
          <w:rFonts w:ascii="Bookman Old Style" w:hAnsi="Bookman Old Style"/>
          <w:i/>
        </w:rPr>
        <w:t>i.e.</w:t>
      </w:r>
      <w:r w:rsidRPr="00401816">
        <w:rPr>
          <w:rFonts w:ascii="Bookman Old Style" w:hAnsi="Bookman Old Style"/>
        </w:rPr>
        <w:t>, it is not required that the loss incurred be one within the contemplation of the parties to the contract itself at the time it was made. The claimant can also recover for consequential harms, provided they were legally caused by the defendant’s interference.</w:t>
      </w:r>
    </w:p>
    <w:p w14:paraId="44472658" w14:textId="77777777" w:rsidR="008B019D" w:rsidRPr="00401816" w:rsidRDefault="008B019D" w:rsidP="008B019D">
      <w:pPr>
        <w:jc w:val="both"/>
        <w:rPr>
          <w:rFonts w:ascii="Bookman Old Style" w:hAnsi="Bookman Old Style"/>
        </w:rPr>
      </w:pPr>
    </w:p>
    <w:p w14:paraId="7896DF99" w14:textId="77777777" w:rsidR="008B019D" w:rsidRPr="00401816" w:rsidRDefault="008B019D" w:rsidP="008B019D">
      <w:pPr>
        <w:tabs>
          <w:tab w:val="left" w:pos="1440"/>
        </w:tabs>
        <w:ind w:firstLine="720"/>
        <w:jc w:val="both"/>
        <w:rPr>
          <w:rFonts w:ascii="Bookman Old Style" w:hAnsi="Bookman Old Style"/>
          <w:bCs/>
        </w:rPr>
      </w:pPr>
      <w:r w:rsidRPr="00401816">
        <w:rPr>
          <w:rFonts w:ascii="Bookman Old Style" w:hAnsi="Bookman Old Style"/>
        </w:rPr>
        <w:t>3.</w:t>
      </w:r>
      <w:r w:rsidRPr="00401816">
        <w:rPr>
          <w:rFonts w:ascii="Bookman Old Style" w:hAnsi="Bookman Old Style"/>
        </w:rPr>
        <w:tab/>
        <w:t xml:space="preserve">A problem with damages in the context of intentional interference claims is whether they can be proved with a reasonable degree of certainty. </w:t>
      </w:r>
      <w:r w:rsidRPr="00401816">
        <w:rPr>
          <w:rFonts w:ascii="Bookman Old Style" w:hAnsi="Bookman Old Style"/>
          <w:iCs/>
        </w:rPr>
        <w:t>See</w:t>
      </w:r>
      <w:r w:rsidRPr="00401816">
        <w:rPr>
          <w:rFonts w:ascii="Bookman Old Style" w:hAnsi="Bookman Old Style"/>
        </w:rPr>
        <w:t xml:space="preserve"> general discussion in </w:t>
      </w:r>
      <w:r w:rsidRPr="00401816">
        <w:rPr>
          <w:rFonts w:ascii="Bookman Old Style" w:hAnsi="Bookman Old Style"/>
          <w:smallCaps/>
        </w:rPr>
        <w:t>Restatement (2d) of Torts</w:t>
      </w:r>
      <w:r w:rsidRPr="00401816">
        <w:rPr>
          <w:rFonts w:ascii="Bookman Old Style" w:hAnsi="Bookman Old Style"/>
        </w:rPr>
        <w:t xml:space="preserve"> § 912, especially comments </w:t>
      </w:r>
      <w:r w:rsidRPr="00401816">
        <w:rPr>
          <w:rFonts w:ascii="Bookman Old Style" w:hAnsi="Bookman Old Style"/>
          <w:i/>
        </w:rPr>
        <w:t>d</w:t>
      </w:r>
      <w:r w:rsidRPr="00401816">
        <w:rPr>
          <w:rFonts w:ascii="Bookman Old Style" w:hAnsi="Bookman Old Style"/>
        </w:rPr>
        <w:t xml:space="preserve"> and </w:t>
      </w:r>
      <w:r w:rsidRPr="00401816">
        <w:rPr>
          <w:rFonts w:ascii="Bookman Old Style" w:hAnsi="Bookman Old Style"/>
          <w:i/>
        </w:rPr>
        <w:t>f</w:t>
      </w:r>
      <w:r w:rsidRPr="00401816">
        <w:rPr>
          <w:rFonts w:ascii="Bookman Old Style" w:hAnsi="Bookman Old Style"/>
        </w:rPr>
        <w:t xml:space="preserve">. Florida has significant case law on the claimant’s burden of proof on damages. </w:t>
      </w:r>
      <w:r w:rsidRPr="00401816">
        <w:rPr>
          <w:rFonts w:ascii="Bookman Old Style" w:hAnsi="Bookman Old Style"/>
          <w:iCs/>
        </w:rPr>
        <w:t xml:space="preserve">See, </w:t>
      </w:r>
      <w:r w:rsidRPr="00401816">
        <w:rPr>
          <w:rFonts w:ascii="Bookman Old Style" w:hAnsi="Bookman Old Style"/>
          <w:i/>
        </w:rPr>
        <w:t>e.g</w:t>
      </w:r>
      <w:r w:rsidRPr="00401816">
        <w:rPr>
          <w:rFonts w:ascii="Bookman Old Style" w:hAnsi="Bookman Old Style"/>
          <w:iCs/>
        </w:rPr>
        <w:t>.,</w:t>
      </w:r>
      <w:r w:rsidRPr="00401816">
        <w:rPr>
          <w:rFonts w:ascii="Bookman Old Style" w:hAnsi="Bookman Old Style"/>
          <w:i/>
        </w:rPr>
        <w:t xml:space="preserve"> </w:t>
      </w:r>
      <w:r w:rsidRPr="00401816">
        <w:rPr>
          <w:rFonts w:ascii="Bookman Old Style" w:hAnsi="Bookman Old Style"/>
          <w:i/>
          <w:iCs/>
        </w:rPr>
        <w:t>Ethan Allen</w:t>
      </w:r>
      <w:r w:rsidRPr="00401816">
        <w:rPr>
          <w:rFonts w:ascii="Bookman Old Style" w:hAnsi="Bookman Old Style"/>
        </w:rPr>
        <w:t xml:space="preserve">, 647 So. 2d at 812; </w:t>
      </w:r>
      <w:r w:rsidRPr="00401816">
        <w:rPr>
          <w:rFonts w:ascii="Bookman Old Style" w:hAnsi="Bookman Old Style"/>
          <w:i/>
          <w:iCs/>
        </w:rPr>
        <w:t>Insurance Field Services, Inc. v. White and White Inspections and Audit Services, Inc</w:t>
      </w:r>
      <w:r w:rsidRPr="00401816">
        <w:rPr>
          <w:rFonts w:ascii="Bookman Old Style" w:hAnsi="Bookman Old Style"/>
        </w:rPr>
        <w:t xml:space="preserve">., 384 So. 2d 303 (Fla. 5th DCA 1980); </w:t>
      </w:r>
      <w:r w:rsidRPr="00401816">
        <w:rPr>
          <w:rFonts w:ascii="Bookman Old Style" w:hAnsi="Bookman Old Style"/>
          <w:i/>
          <w:iCs/>
        </w:rPr>
        <w:t>Ferguson Transportation, Inc. v. North American Van Lines, Inc.</w:t>
      </w:r>
      <w:r w:rsidRPr="00401816">
        <w:rPr>
          <w:rFonts w:ascii="Bookman Old Style" w:hAnsi="Bookman Old Style"/>
        </w:rPr>
        <w:t>, 687 So. 2d 821 (Fla. 1996).</w:t>
      </w:r>
    </w:p>
    <w:p w14:paraId="34DF9CF5" w14:textId="48D4437A" w:rsidR="00B3051B" w:rsidRPr="00401816" w:rsidRDefault="00B3051B"/>
    <w:p w14:paraId="77513742" w14:textId="77777777" w:rsidR="008B019D" w:rsidRPr="00401816" w:rsidRDefault="008B019D" w:rsidP="008B019D">
      <w:pPr>
        <w:ind w:right="-360"/>
        <w:jc w:val="right"/>
        <w:rPr>
          <w:rFonts w:ascii="Bookman Old Style" w:hAnsi="Bookman Old Style"/>
        </w:rPr>
      </w:pPr>
      <w:r w:rsidRPr="00401816">
        <w:rPr>
          <w:rFonts w:ascii="Bookman Old Style" w:hAnsi="Bookman Old Style"/>
          <w:bCs/>
        </w:rPr>
        <w:t>(Adopted February 17, 2022.)</w:t>
      </w:r>
    </w:p>
    <w:p w14:paraId="122D84ED" w14:textId="77777777" w:rsidR="008B019D" w:rsidRPr="00401816" w:rsidRDefault="008B019D"/>
    <w:sectPr w:rsidR="008B019D" w:rsidRPr="00401816" w:rsidSect="00860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9D"/>
    <w:rsid w:val="000D257D"/>
    <w:rsid w:val="00401816"/>
    <w:rsid w:val="008B019D"/>
    <w:rsid w:val="008F5B40"/>
    <w:rsid w:val="00B3051B"/>
    <w:rsid w:val="00C95D91"/>
    <w:rsid w:val="00FD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29AA"/>
  <w15:chartTrackingRefBased/>
  <w15:docId w15:val="{F0665CB5-B728-40B0-8401-794A95DA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19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Title">
    <w:name w:val="Rules Title"/>
    <w:basedOn w:val="Normal"/>
    <w:qFormat/>
    <w:rsid w:val="000D257D"/>
    <w:pPr>
      <w:keepNext/>
      <w:keepLines/>
      <w:spacing w:after="280"/>
      <w:ind w:left="2160" w:hanging="2160"/>
    </w:pPr>
    <w:rPr>
      <w:rFonts w:ascii="Times New Roman Bold" w:eastAsiaTheme="majorEastAsia" w:hAnsi="Times New Roman Bold" w:cstheme="majorBidi"/>
      <w:caps/>
      <w:sz w:val="22"/>
      <w:szCs w:val="22"/>
    </w:rPr>
  </w:style>
  <w:style w:type="character" w:customStyle="1" w:styleId="Normal1">
    <w:name w:val="Normal1"/>
    <w:uiPriority w:val="1"/>
    <w:qFormat/>
    <w:rsid w:val="008F5B40"/>
    <w:rPr>
      <w:rFonts w:ascii="Arial" w:hAnsi="Arial"/>
      <w:b w:val="0"/>
      <w:sz w:val="24"/>
    </w:rPr>
  </w:style>
  <w:style w:type="paragraph" w:styleId="TOC1">
    <w:name w:val="toc 1"/>
    <w:basedOn w:val="Normal"/>
    <w:next w:val="Normal"/>
    <w:autoRedefine/>
    <w:uiPriority w:val="39"/>
    <w:unhideWhenUsed/>
    <w:rsid w:val="008F5B40"/>
    <w:pPr>
      <w:tabs>
        <w:tab w:val="left" w:pos="1400"/>
        <w:tab w:val="right" w:leader="dot" w:pos="9350"/>
      </w:tabs>
    </w:pPr>
    <w:rPr>
      <w:rFonts w:ascii="Arial" w:eastAsia="Calibri" w:hAnsi="Arial"/>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Standard Jury Instruction in Civil Cases 408.11</dc:title>
  <dc:subject/>
  <dc:creator>Godwin, Krys</dc:creator>
  <cp:keywords>Florida Standard Jury Instruction in Civil Cases 408.11</cp:keywords>
  <dc:description>Florida Standard Jury Instruction in Civil Cases 408.11, adopted February 17, 2022.</dc:description>
  <cp:lastModifiedBy>Godwin, Krys</cp:lastModifiedBy>
  <cp:revision>3</cp:revision>
  <dcterms:created xsi:type="dcterms:W3CDTF">2022-02-21T20:28:00Z</dcterms:created>
  <dcterms:modified xsi:type="dcterms:W3CDTF">2022-04-08T17:12:00Z</dcterms:modified>
</cp:coreProperties>
</file>