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8517" w14:textId="77777777" w:rsidR="00471C3C" w:rsidRPr="007E7AC2" w:rsidRDefault="00471C3C" w:rsidP="00471C3C">
      <w:pPr>
        <w:jc w:val="center"/>
        <w:rPr>
          <w:rFonts w:ascii="Bookman Old Style" w:hAnsi="Bookman Old Style"/>
          <w:b/>
          <w:bCs/>
        </w:rPr>
      </w:pPr>
      <w:r w:rsidRPr="007E7AC2">
        <w:rPr>
          <w:rFonts w:ascii="Bookman Old Style" w:hAnsi="Bookman Old Style"/>
          <w:b/>
        </w:rPr>
        <w:t xml:space="preserve">408.8 AFFIRMATIVE DEFENSE — </w:t>
      </w:r>
      <w:r w:rsidRPr="007E7AC2">
        <w:rPr>
          <w:rFonts w:ascii="Bookman Old Style" w:hAnsi="Bookman Old Style"/>
          <w:b/>
          <w:bCs/>
        </w:rPr>
        <w:t>FINANCIAL INTEREST</w:t>
      </w:r>
    </w:p>
    <w:p w14:paraId="4C298B96" w14:textId="77777777" w:rsidR="00471C3C" w:rsidRPr="007E7AC2" w:rsidRDefault="00471C3C" w:rsidP="00471C3C">
      <w:pPr>
        <w:ind w:firstLine="720"/>
        <w:jc w:val="both"/>
        <w:rPr>
          <w:rFonts w:ascii="Bookman Old Style" w:hAnsi="Bookman Old Style"/>
          <w:b/>
        </w:rPr>
      </w:pPr>
    </w:p>
    <w:p w14:paraId="70DCD73A" w14:textId="77777777" w:rsidR="00471C3C" w:rsidRPr="007E7AC2" w:rsidRDefault="00471C3C" w:rsidP="00471C3C">
      <w:pPr>
        <w:pStyle w:val="Default"/>
        <w:ind w:firstLine="720"/>
        <w:jc w:val="both"/>
        <w:rPr>
          <w:rFonts w:ascii="Bookman Old Style" w:hAnsi="Bookman Old Style"/>
          <w:b/>
          <w:bCs/>
          <w:color w:val="auto"/>
          <w:sz w:val="28"/>
          <w:szCs w:val="28"/>
        </w:rPr>
      </w:pPr>
      <w:r w:rsidRPr="007E7AC2">
        <w:rPr>
          <w:rFonts w:ascii="Bookman Old Style" w:hAnsi="Bookman Old Style"/>
          <w:color w:val="auto"/>
          <w:sz w:val="28"/>
          <w:szCs w:val="28"/>
        </w:rPr>
        <w:t>(Defendant)</w:t>
      </w:r>
      <w:r w:rsidRPr="007E7AC2">
        <w:rPr>
          <w:rFonts w:ascii="Bookman Old Style" w:hAnsi="Bookman Old Style"/>
          <w:b/>
          <w:bCs/>
          <w:color w:val="auto"/>
          <w:sz w:val="28"/>
          <w:szCs w:val="28"/>
        </w:rPr>
        <w:t xml:space="preserve"> has asserted that [his] [her] [its] conduct was justified because it occurred during the course of [his] [her] [its] efforts to protect [his] [her] [its] own financial interest in the [contract] [business relationship] with </w:t>
      </w:r>
      <w:r w:rsidRPr="007E7AC2">
        <w:rPr>
          <w:rFonts w:ascii="Bookman Old Style" w:hAnsi="Bookman Old Style"/>
          <w:color w:val="auto"/>
          <w:sz w:val="28"/>
          <w:szCs w:val="28"/>
        </w:rPr>
        <w:t>(claimant)</w:t>
      </w:r>
      <w:r w:rsidRPr="007E7AC2">
        <w:rPr>
          <w:rFonts w:ascii="Bookman Old Style" w:hAnsi="Bookman Old Style"/>
          <w:b/>
          <w:bCs/>
          <w:color w:val="auto"/>
          <w:sz w:val="28"/>
          <w:szCs w:val="28"/>
        </w:rPr>
        <w:t xml:space="preserve">. If you find that </w:t>
      </w:r>
      <w:r w:rsidRPr="007E7AC2">
        <w:rPr>
          <w:rFonts w:ascii="Bookman Old Style" w:hAnsi="Bookman Old Style"/>
          <w:color w:val="auto"/>
          <w:sz w:val="28"/>
          <w:szCs w:val="28"/>
        </w:rPr>
        <w:t>(defendant’s)</w:t>
      </w:r>
      <w:r w:rsidRPr="007E7AC2">
        <w:rPr>
          <w:rFonts w:ascii="Bookman Old Style" w:hAnsi="Bookman Old Style"/>
          <w:b/>
          <w:bCs/>
          <w:color w:val="auto"/>
          <w:sz w:val="28"/>
          <w:szCs w:val="28"/>
        </w:rPr>
        <w:t xml:space="preserve"> conduct was motivated, at least in part, by [his] [her] [its] own financial interest in the [contract] [business relationship], [and that </w:t>
      </w:r>
      <w:r w:rsidRPr="007E7AC2">
        <w:rPr>
          <w:rFonts w:ascii="Bookman Old Style" w:hAnsi="Bookman Old Style"/>
          <w:color w:val="auto"/>
          <w:sz w:val="28"/>
          <w:szCs w:val="28"/>
        </w:rPr>
        <w:t>(defendant)</w:t>
      </w:r>
      <w:r w:rsidRPr="007E7AC2">
        <w:rPr>
          <w:rFonts w:ascii="Bookman Old Style" w:hAnsi="Bookman Old Style"/>
          <w:b/>
          <w:bCs/>
          <w:color w:val="auto"/>
          <w:sz w:val="28"/>
          <w:szCs w:val="28"/>
        </w:rPr>
        <w:t xml:space="preserve"> did not use improper means to protect its financial interest], then </w:t>
      </w:r>
      <w:r w:rsidRPr="007E7AC2">
        <w:rPr>
          <w:rFonts w:ascii="Bookman Old Style" w:hAnsi="Bookman Old Style"/>
          <w:color w:val="auto"/>
          <w:sz w:val="28"/>
          <w:szCs w:val="28"/>
        </w:rPr>
        <w:t>(defendant’s)</w:t>
      </w:r>
      <w:r w:rsidRPr="007E7AC2">
        <w:rPr>
          <w:rFonts w:ascii="Bookman Old Style" w:hAnsi="Bookman Old Style"/>
          <w:b/>
          <w:bCs/>
          <w:color w:val="auto"/>
          <w:sz w:val="28"/>
          <w:szCs w:val="28"/>
        </w:rPr>
        <w:t xml:space="preserve"> conduct was justified. </w:t>
      </w:r>
    </w:p>
    <w:p w14:paraId="6339AED3" w14:textId="77777777" w:rsidR="00471C3C" w:rsidRPr="007E7AC2" w:rsidRDefault="00471C3C" w:rsidP="00471C3C">
      <w:pPr>
        <w:pStyle w:val="Default"/>
        <w:jc w:val="both"/>
        <w:rPr>
          <w:rFonts w:ascii="Bookman Old Style" w:hAnsi="Bookman Old Style"/>
          <w:b/>
          <w:bCs/>
          <w:color w:val="auto"/>
          <w:sz w:val="28"/>
          <w:szCs w:val="28"/>
        </w:rPr>
      </w:pPr>
      <w:bookmarkStart w:id="0" w:name="_Hlk85005126"/>
    </w:p>
    <w:p w14:paraId="36F4BE14" w14:textId="77777777" w:rsidR="00471C3C" w:rsidRPr="007E7AC2" w:rsidRDefault="00471C3C" w:rsidP="00471C3C">
      <w:pPr>
        <w:jc w:val="center"/>
        <w:rPr>
          <w:rFonts w:ascii="Bookman Old Style" w:hAnsi="Bookman Old Style"/>
        </w:rPr>
      </w:pPr>
      <w:bookmarkStart w:id="1" w:name="_Hlk85005597"/>
      <w:r w:rsidRPr="007E7AC2">
        <w:rPr>
          <w:rFonts w:ascii="Bookman Old Style" w:hAnsi="Bookman Old Style"/>
        </w:rPr>
        <w:t>NOTE ON USE FOR 408.8</w:t>
      </w:r>
    </w:p>
    <w:p w14:paraId="662CCE8B" w14:textId="77777777" w:rsidR="00471C3C" w:rsidRPr="007E7AC2" w:rsidRDefault="00471C3C" w:rsidP="00471C3C">
      <w:pPr>
        <w:jc w:val="both"/>
        <w:rPr>
          <w:rFonts w:ascii="Bookman Old Style" w:hAnsi="Bookman Old Style"/>
        </w:rPr>
      </w:pPr>
    </w:p>
    <w:bookmarkEnd w:id="0"/>
    <w:bookmarkEnd w:id="1"/>
    <w:p w14:paraId="5FFC9D0F" w14:textId="77777777" w:rsidR="00471C3C" w:rsidRPr="007E7AC2" w:rsidRDefault="00471C3C" w:rsidP="00471C3C">
      <w:pPr>
        <w:pStyle w:val="Default"/>
        <w:tabs>
          <w:tab w:val="left" w:pos="1170"/>
        </w:tabs>
        <w:ind w:firstLine="720"/>
        <w:jc w:val="both"/>
        <w:rPr>
          <w:rFonts w:ascii="Bookman Old Style" w:hAnsi="Bookman Old Style"/>
          <w:color w:val="auto"/>
          <w:sz w:val="28"/>
          <w:szCs w:val="28"/>
        </w:rPr>
      </w:pPr>
      <w:r w:rsidRPr="007E7AC2">
        <w:rPr>
          <w:rFonts w:ascii="Bookman Old Style" w:hAnsi="Bookman Old Style"/>
          <w:color w:val="auto"/>
          <w:sz w:val="28"/>
          <w:szCs w:val="28"/>
        </w:rPr>
        <w:t xml:space="preserve">To defend based on the privilege to protect one’s own financial and contractual interests requires that the defendant show improper means were not employed. </w:t>
      </w:r>
      <w:r w:rsidRPr="007E7AC2">
        <w:rPr>
          <w:rFonts w:ascii="Bookman Old Style" w:hAnsi="Bookman Old Style"/>
          <w:i/>
          <w:iCs/>
          <w:color w:val="auto"/>
          <w:sz w:val="28"/>
          <w:szCs w:val="28"/>
        </w:rPr>
        <w:t>Weisman v. S. Wine &amp; Spirits of Am., Inc.</w:t>
      </w:r>
      <w:r w:rsidRPr="007E7AC2">
        <w:rPr>
          <w:rFonts w:ascii="Bookman Old Style" w:hAnsi="Bookman Old Style"/>
          <w:color w:val="auto"/>
          <w:sz w:val="28"/>
          <w:szCs w:val="28"/>
        </w:rPr>
        <w:t xml:space="preserve">, 297 So. 3d 646, 651 (Fla. 4th DCA 2020). See </w:t>
      </w:r>
      <w:r w:rsidRPr="007E7AC2">
        <w:rPr>
          <w:rFonts w:ascii="Bookman Old Style" w:hAnsi="Bookman Old Style"/>
          <w:i/>
          <w:iCs/>
          <w:color w:val="auto"/>
          <w:sz w:val="28"/>
          <w:szCs w:val="28"/>
        </w:rPr>
        <w:t xml:space="preserve">Security Title Guarantee Corp. of Baltimore v. </w:t>
      </w:r>
      <w:proofErr w:type="spellStart"/>
      <w:r w:rsidRPr="007E7AC2">
        <w:rPr>
          <w:rFonts w:ascii="Bookman Old Style" w:hAnsi="Bookman Old Style"/>
          <w:i/>
          <w:iCs/>
          <w:color w:val="auto"/>
          <w:sz w:val="28"/>
          <w:szCs w:val="28"/>
        </w:rPr>
        <w:t>McDill</w:t>
      </w:r>
      <w:proofErr w:type="spellEnd"/>
      <w:r w:rsidRPr="007E7AC2">
        <w:rPr>
          <w:rFonts w:ascii="Bookman Old Style" w:hAnsi="Bookman Old Style"/>
          <w:i/>
          <w:iCs/>
          <w:color w:val="auto"/>
          <w:sz w:val="28"/>
          <w:szCs w:val="28"/>
        </w:rPr>
        <w:t xml:space="preserve"> Columbus Corp.</w:t>
      </w:r>
      <w:r w:rsidRPr="007E7AC2">
        <w:rPr>
          <w:rFonts w:ascii="Bookman Old Style" w:hAnsi="Bookman Old Style"/>
          <w:color w:val="auto"/>
          <w:sz w:val="28"/>
          <w:szCs w:val="28"/>
        </w:rPr>
        <w:t xml:space="preserve">, 543 So. 2d 852, 855 (Fla. 2d DCA 1989) (“The unchallengeable controlling principle is that ‘so long as improper means are not employed, activities taken to safeguard or promote one’s own financial . . . interests are entirely nonactionable.’” (quoting </w:t>
      </w:r>
      <w:r w:rsidRPr="007E7AC2">
        <w:rPr>
          <w:rFonts w:ascii="Bookman Old Style" w:hAnsi="Bookman Old Style"/>
          <w:i/>
          <w:color w:val="auto"/>
          <w:sz w:val="28"/>
          <w:szCs w:val="28"/>
        </w:rPr>
        <w:t>Ethyl Corp. v. Balter</w:t>
      </w:r>
      <w:r w:rsidRPr="007E7AC2">
        <w:rPr>
          <w:rFonts w:ascii="Bookman Old Style" w:hAnsi="Bookman Old Style"/>
          <w:color w:val="auto"/>
          <w:sz w:val="28"/>
          <w:szCs w:val="28"/>
        </w:rPr>
        <w:t xml:space="preserve">, 386 So. 2d 1220, 1225 (Fla. 3d DCA 1980)); </w:t>
      </w:r>
      <w:r w:rsidRPr="007E7AC2">
        <w:rPr>
          <w:rFonts w:ascii="Bookman Old Style" w:hAnsi="Bookman Old Style"/>
          <w:i/>
          <w:iCs/>
          <w:color w:val="auto"/>
          <w:sz w:val="28"/>
          <w:szCs w:val="28"/>
        </w:rPr>
        <w:t>Genet Co. v. Anheuser Busch, Inc.</w:t>
      </w:r>
      <w:r w:rsidRPr="007E7AC2">
        <w:rPr>
          <w:rFonts w:ascii="Bookman Old Style" w:hAnsi="Bookman Old Style"/>
          <w:color w:val="auto"/>
          <w:sz w:val="28"/>
          <w:szCs w:val="28"/>
        </w:rPr>
        <w:t xml:space="preserve">, 498 So. 2d 683 (Fla. 3d DCA 1986) (“[T]here can be no claim where the action complained of is undertaken to safeguard or promote one’s financial or economic interest.”); see also </w:t>
      </w:r>
      <w:r w:rsidRPr="007E7AC2">
        <w:rPr>
          <w:rFonts w:ascii="Bookman Old Style" w:hAnsi="Bookman Old Style"/>
          <w:i/>
          <w:iCs/>
          <w:color w:val="auto"/>
          <w:sz w:val="28"/>
          <w:szCs w:val="28"/>
        </w:rPr>
        <w:t>Babson Bros. Co. v. Allison</w:t>
      </w:r>
      <w:r w:rsidRPr="007E7AC2">
        <w:rPr>
          <w:rFonts w:ascii="Bookman Old Style" w:hAnsi="Bookman Old Style"/>
          <w:color w:val="auto"/>
          <w:sz w:val="28"/>
          <w:szCs w:val="28"/>
        </w:rPr>
        <w:t xml:space="preserve">, 337 So. 2d 848, 850 (Fla. 1st DCA 1976) (discussing W. Prosser, </w:t>
      </w:r>
      <w:r w:rsidRPr="007E7AC2">
        <w:rPr>
          <w:rFonts w:ascii="Bookman Old Style" w:hAnsi="Bookman Old Style"/>
          <w:smallCaps/>
          <w:color w:val="auto"/>
          <w:sz w:val="28"/>
          <w:szCs w:val="28"/>
        </w:rPr>
        <w:t>Law of Torts</w:t>
      </w:r>
      <w:r w:rsidRPr="007E7AC2">
        <w:rPr>
          <w:rFonts w:ascii="Bookman Old Style" w:hAnsi="Bookman Old Style"/>
          <w:color w:val="auto"/>
          <w:sz w:val="28"/>
          <w:szCs w:val="28"/>
        </w:rPr>
        <w:t xml:space="preserve"> §129, 944–45 (4th ed. 1971)); </w:t>
      </w:r>
      <w:r w:rsidRPr="007E7AC2">
        <w:rPr>
          <w:rFonts w:ascii="Bookman Old Style" w:hAnsi="Bookman Old Style"/>
          <w:i/>
          <w:iCs/>
          <w:color w:val="auto"/>
          <w:sz w:val="28"/>
          <w:szCs w:val="28"/>
        </w:rPr>
        <w:t>Peacock v. General Motors Acceptance Corp.</w:t>
      </w:r>
      <w:r w:rsidRPr="007E7AC2">
        <w:rPr>
          <w:rFonts w:ascii="Bookman Old Style" w:hAnsi="Bookman Old Style"/>
          <w:color w:val="auto"/>
          <w:sz w:val="28"/>
          <w:szCs w:val="28"/>
        </w:rPr>
        <w:t xml:space="preserve">, 432 So. 2d 142, 144 (Fla. 1st DCA 1983) (“GMAC’s privilege to protect its contractual interests is not absolute but is instead conditioned upon its employing means that are not improper.”). </w:t>
      </w:r>
    </w:p>
    <w:p w14:paraId="32D5449B" w14:textId="6259FA9D" w:rsidR="00B3051B" w:rsidRPr="007E7AC2" w:rsidRDefault="00B3051B" w:rsidP="00471C3C"/>
    <w:p w14:paraId="0AEDA0C4" w14:textId="77777777" w:rsidR="00471C3C" w:rsidRPr="007E7AC2" w:rsidRDefault="00471C3C" w:rsidP="00471C3C">
      <w:pPr>
        <w:ind w:right="-360"/>
        <w:jc w:val="right"/>
        <w:rPr>
          <w:rFonts w:ascii="Bookman Old Style" w:hAnsi="Bookman Old Style"/>
        </w:rPr>
      </w:pPr>
      <w:r w:rsidRPr="007E7AC2">
        <w:rPr>
          <w:rFonts w:ascii="Bookman Old Style" w:hAnsi="Bookman Old Style"/>
          <w:bCs/>
        </w:rPr>
        <w:t>(Adopted February 17, 2022.)</w:t>
      </w:r>
    </w:p>
    <w:p w14:paraId="30F039FE" w14:textId="77777777" w:rsidR="00471C3C" w:rsidRPr="007E7AC2" w:rsidRDefault="00471C3C" w:rsidP="00471C3C"/>
    <w:sectPr w:rsidR="00471C3C" w:rsidRPr="007E7AC2" w:rsidSect="00471C3C">
      <w:pgSz w:w="12240" w:h="15840" w:code="1"/>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3C"/>
    <w:rsid w:val="000D257D"/>
    <w:rsid w:val="00471C3C"/>
    <w:rsid w:val="007E7AC2"/>
    <w:rsid w:val="008F5B40"/>
    <w:rsid w:val="00A73B18"/>
    <w:rsid w:val="00B3051B"/>
    <w:rsid w:val="00C95D91"/>
    <w:rsid w:val="00FD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8387"/>
  <w15:chartTrackingRefBased/>
  <w15:docId w15:val="{A333ACA0-4688-49C7-819A-BA927B37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C3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Title">
    <w:name w:val="Rules Title"/>
    <w:basedOn w:val="Normal"/>
    <w:qFormat/>
    <w:rsid w:val="000D257D"/>
    <w:pPr>
      <w:keepNext/>
      <w:keepLines/>
      <w:spacing w:after="280"/>
      <w:ind w:left="2160" w:hanging="2160"/>
    </w:pPr>
    <w:rPr>
      <w:rFonts w:ascii="Times New Roman Bold" w:eastAsiaTheme="majorEastAsia" w:hAnsi="Times New Roman Bold" w:cstheme="majorBidi"/>
      <w:caps/>
      <w:sz w:val="22"/>
      <w:szCs w:val="22"/>
    </w:rPr>
  </w:style>
  <w:style w:type="character" w:customStyle="1" w:styleId="Normal1">
    <w:name w:val="Normal1"/>
    <w:uiPriority w:val="1"/>
    <w:qFormat/>
    <w:rsid w:val="008F5B40"/>
    <w:rPr>
      <w:rFonts w:ascii="Arial" w:hAnsi="Arial"/>
      <w:b w:val="0"/>
      <w:sz w:val="24"/>
    </w:rPr>
  </w:style>
  <w:style w:type="paragraph" w:styleId="TOC1">
    <w:name w:val="toc 1"/>
    <w:basedOn w:val="Normal"/>
    <w:next w:val="Normal"/>
    <w:autoRedefine/>
    <w:uiPriority w:val="39"/>
    <w:unhideWhenUsed/>
    <w:rsid w:val="008F5B40"/>
    <w:pPr>
      <w:tabs>
        <w:tab w:val="left" w:pos="1400"/>
        <w:tab w:val="right" w:leader="dot" w:pos="9350"/>
      </w:tabs>
    </w:pPr>
    <w:rPr>
      <w:rFonts w:ascii="Arial" w:eastAsia="Calibri" w:hAnsi="Arial"/>
      <w:bCs/>
      <w:caps/>
      <w:sz w:val="24"/>
      <w:szCs w:val="24"/>
    </w:rPr>
  </w:style>
  <w:style w:type="paragraph" w:customStyle="1" w:styleId="Default">
    <w:name w:val="Default"/>
    <w:rsid w:val="00471C3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Standard Jury Instruction in Civil Cases 408.8</dc:title>
  <dc:subject/>
  <dc:creator>Godwin, Krys</dc:creator>
  <cp:keywords>Florida Standard Jury Instruction in Civil Cases 408.8</cp:keywords>
  <dc:description>Florida Standard Jury Instruction in Civil Cases 408.8, adopted February 17, 2022.</dc:description>
  <cp:lastModifiedBy>Godwin, Krys</cp:lastModifiedBy>
  <cp:revision>3</cp:revision>
  <dcterms:created xsi:type="dcterms:W3CDTF">2022-02-21T20:26:00Z</dcterms:created>
  <dcterms:modified xsi:type="dcterms:W3CDTF">2022-04-08T17:10:00Z</dcterms:modified>
</cp:coreProperties>
</file>