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0CA7" w14:textId="77777777" w:rsidR="0085677E" w:rsidRPr="00B21914" w:rsidRDefault="0085677E" w:rsidP="0085677E">
      <w:pPr>
        <w:pStyle w:val="SJITitle1"/>
        <w:rPr>
          <w:rFonts w:ascii="Bookman Old Style" w:hAnsi="Bookman Old Style"/>
        </w:rPr>
      </w:pPr>
      <w:bookmarkStart w:id="0" w:name="_Toc479756219"/>
      <w:r w:rsidRPr="00B21914">
        <w:rPr>
          <w:rFonts w:ascii="Bookman Old Style" w:hAnsi="Bookman Old Style"/>
        </w:rPr>
        <w:t>417.5  LEGAL CAUSE — DISCRIMINATION</w:t>
      </w:r>
      <w:bookmarkEnd w:id="0"/>
    </w:p>
    <w:p w14:paraId="6B693E61" w14:textId="77777777" w:rsidR="0085677E" w:rsidRPr="00B21914" w:rsidRDefault="0085677E" w:rsidP="0085677E">
      <w:pPr>
        <w:pStyle w:val="SJIText1"/>
        <w:rPr>
          <w:rStyle w:val="SJIBold"/>
          <w:rFonts w:ascii="Bookman Old Style" w:hAnsi="Bookman Old Style"/>
        </w:rPr>
      </w:pPr>
      <w:r w:rsidRPr="00B21914">
        <w:rPr>
          <w:rFonts w:ascii="Bookman Old Style" w:hAnsi="Bookman Old Style"/>
        </w:rPr>
        <w:t>(Claimant’s)</w:t>
      </w:r>
      <w:r w:rsidRPr="00B21914">
        <w:rPr>
          <w:rStyle w:val="SJIBold"/>
          <w:rFonts w:ascii="Bookman Old Style" w:hAnsi="Bookman Old Style"/>
        </w:rPr>
        <w:t xml:space="preserve"> [race] [color] [religion] [sex] [pregnancy] [national origin] [age] [handicap] [marital status] is the legal cause of </w:t>
      </w:r>
      <w:r w:rsidRPr="00B21914">
        <w:rPr>
          <w:rStyle w:val="SJINormalText"/>
          <w:rFonts w:ascii="Bookman Old Style" w:hAnsi="Bookman Old Style"/>
        </w:rPr>
        <w:t>(defendant’s)</w:t>
      </w:r>
      <w:r w:rsidRPr="00B21914">
        <w:rPr>
          <w:rStyle w:val="SJIBold"/>
          <w:rFonts w:ascii="Bookman Old Style" w:hAnsi="Bookman Old Style"/>
        </w:rPr>
        <w:t xml:space="preserve"> decision to [discharge] [fail to hire] [</w:t>
      </w:r>
      <w:r w:rsidRPr="00B21914">
        <w:rPr>
          <w:rStyle w:val="SJINormalText"/>
          <w:rFonts w:ascii="Bookman Old Style" w:hAnsi="Bookman Old Style"/>
        </w:rPr>
        <w:t>(describe discriminatory treatment)</w:t>
      </w:r>
      <w:r w:rsidRPr="00B21914">
        <w:rPr>
          <w:rStyle w:val="SJIBold"/>
          <w:rFonts w:ascii="Bookman Old Style" w:hAnsi="Bookman Old Style"/>
        </w:rPr>
        <w:t xml:space="preserve">] </w:t>
      </w:r>
      <w:r w:rsidRPr="00B21914">
        <w:rPr>
          <w:rStyle w:val="SJINormalText"/>
          <w:rFonts w:ascii="Bookman Old Style" w:hAnsi="Bookman Old Style"/>
        </w:rPr>
        <w:t>(claimant)</w:t>
      </w:r>
      <w:r w:rsidRPr="00B21914">
        <w:rPr>
          <w:rStyle w:val="SJIBold"/>
          <w:rFonts w:ascii="Bookman Old Style" w:hAnsi="Bookman Old Style"/>
        </w:rPr>
        <w:t xml:space="preserve"> if </w:t>
      </w:r>
      <w:r w:rsidRPr="00B21914">
        <w:rPr>
          <w:rStyle w:val="SJINormalText"/>
          <w:rFonts w:ascii="Bookman Old Style" w:hAnsi="Bookman Old Style"/>
        </w:rPr>
        <w:t>(defendant)</w:t>
      </w:r>
      <w:r w:rsidRPr="00B21914">
        <w:rPr>
          <w:rStyle w:val="SJIBold"/>
          <w:rFonts w:ascii="Bookman Old Style" w:hAnsi="Bookman Old Style"/>
        </w:rPr>
        <w:t xml:space="preserve"> made the decision because of </w:t>
      </w:r>
      <w:r w:rsidRPr="00B21914">
        <w:rPr>
          <w:rStyle w:val="SJINormalText"/>
          <w:rFonts w:ascii="Bookman Old Style" w:hAnsi="Bookman Old Style"/>
        </w:rPr>
        <w:t>(claimant’s)</w:t>
      </w:r>
      <w:r w:rsidRPr="00B21914">
        <w:rPr>
          <w:rStyle w:val="SJIBold"/>
          <w:rFonts w:ascii="Bookman Old Style" w:hAnsi="Bookman Old Style"/>
        </w:rPr>
        <w:t xml:space="preserve"> [race] [color] [religion] [sex] [pregnancy] [national origin] [age] [handicap] [marital status]. </w:t>
      </w:r>
    </w:p>
    <w:p w14:paraId="3F8AF5AA" w14:textId="77777777" w:rsidR="0085677E" w:rsidRPr="00B21914" w:rsidRDefault="0085677E" w:rsidP="0085677E">
      <w:pPr>
        <w:pStyle w:val="SJIText1"/>
        <w:rPr>
          <w:rFonts w:ascii="Bookman Old Style" w:hAnsi="Bookman Old Style"/>
        </w:rPr>
      </w:pPr>
      <w:r w:rsidRPr="00B21914">
        <w:rPr>
          <w:rFonts w:ascii="Bookman Old Style" w:hAnsi="Bookman Old Style"/>
        </w:rPr>
        <w:t>(If necessary, clarify the causation standard further.)</w:t>
      </w:r>
    </w:p>
    <w:p w14:paraId="50FF6049" w14:textId="77777777" w:rsidR="0085677E" w:rsidRPr="00B21914" w:rsidRDefault="0085677E" w:rsidP="0085677E">
      <w:pPr>
        <w:pStyle w:val="SJICenter1"/>
        <w:rPr>
          <w:rFonts w:ascii="Bookman Old Style" w:hAnsi="Bookman Old Style"/>
        </w:rPr>
      </w:pPr>
      <w:r w:rsidRPr="00B21914">
        <w:rPr>
          <w:rFonts w:ascii="Bookman Old Style" w:hAnsi="Bookman Old Style"/>
        </w:rPr>
        <w:t>NOTES ON USE FOR 417.5</w:t>
      </w:r>
    </w:p>
    <w:p w14:paraId="701DAF14" w14:textId="77777777" w:rsidR="0085677E" w:rsidRPr="00B21914" w:rsidRDefault="0085677E" w:rsidP="0085677E">
      <w:pPr>
        <w:pStyle w:val="SJIText1"/>
        <w:rPr>
          <w:rFonts w:ascii="Bookman Old Style" w:hAnsi="Bookman Old Style"/>
        </w:rPr>
      </w:pPr>
      <w:r w:rsidRPr="00B21914">
        <w:rPr>
          <w:rFonts w:ascii="Bookman Old Style" w:hAnsi="Bookman Old Style"/>
        </w:rPr>
        <w:t>1.</w:t>
      </w:r>
      <w:r w:rsidRPr="00B21914">
        <w:rPr>
          <w:rFonts w:ascii="Bookman Old Style" w:hAnsi="Bookman Old Style"/>
        </w:rPr>
        <w:tab/>
        <w:t xml:space="preserve">This instruction uses “because of,” the causation language in </w:t>
      </w:r>
      <w:r w:rsidRPr="00B21914">
        <w:rPr>
          <w:rStyle w:val="SJIItalic"/>
          <w:rFonts w:ascii="Bookman Old Style" w:hAnsi="Bookman Old Style"/>
        </w:rPr>
        <w:t>F.S.</w:t>
      </w:r>
      <w:r w:rsidRPr="00B21914">
        <w:rPr>
          <w:rFonts w:ascii="Bookman Old Style" w:hAnsi="Bookman Old Style"/>
        </w:rPr>
        <w:t xml:space="preserve"> 760.10(1). The committee takes no position on whether additional clarification is needed. We note that “because of” in employment statutes has been interpreted to mean numerous types of causation. See generally, “Gross Disunity,” 114 Penn. State L. Rev. 857 (2010) (“because of” can mean at least four different types of causation). Courts have focused on three possible meanings: “sole,” “but for,” and “motivating factor.” If an additional instruction is needed, it may vary depending on which protected factor is involved, as explained below. </w:t>
      </w:r>
    </w:p>
    <w:p w14:paraId="3DD274F2" w14:textId="77777777" w:rsidR="0085677E" w:rsidRPr="00B21914" w:rsidRDefault="0085677E" w:rsidP="0085677E">
      <w:pPr>
        <w:pStyle w:val="SJIText1"/>
        <w:rPr>
          <w:rFonts w:ascii="Bookman Old Style" w:hAnsi="Bookman Old Style"/>
        </w:rPr>
      </w:pPr>
      <w:r w:rsidRPr="00B21914">
        <w:rPr>
          <w:rFonts w:ascii="Bookman Old Style" w:hAnsi="Bookman Old Style"/>
        </w:rPr>
        <w:t>2.</w:t>
      </w:r>
      <w:r w:rsidRPr="00B21914">
        <w:rPr>
          <w:rFonts w:ascii="Bookman Old Style" w:hAnsi="Bookman Old Style"/>
        </w:rPr>
        <w:tab/>
      </w:r>
      <w:r w:rsidRPr="00B21914">
        <w:rPr>
          <w:rStyle w:val="SJIItalic"/>
          <w:rFonts w:ascii="Bookman Old Style" w:hAnsi="Bookman Old Style"/>
        </w:rPr>
        <w:t>Race, color, religion, sex, national origin.</w:t>
      </w:r>
      <w:r w:rsidRPr="00B21914">
        <w:rPr>
          <w:rFonts w:ascii="Bookman Old Style" w:hAnsi="Bookman Old Style"/>
        </w:rPr>
        <w:t xml:space="preserve"> No Florida appellate court has stated which causation standard should be used for a Florida Civil Rights Act (“FCRA”) discrimination claim based on one of the five factors enumerated in Title VII of the Civil Rights Act, 42 U.S.C. §§ 2000e </w:t>
      </w:r>
      <w:r w:rsidRPr="00B21914">
        <w:rPr>
          <w:rStyle w:val="SJIItalic"/>
          <w:rFonts w:ascii="Bookman Old Style" w:hAnsi="Bookman Old Style"/>
        </w:rPr>
        <w:t>et seq.</w:t>
      </w:r>
      <w:r w:rsidRPr="00B21914">
        <w:rPr>
          <w:rFonts w:ascii="Bookman Old Style" w:hAnsi="Bookman Old Style"/>
        </w:rPr>
        <w:t xml:space="preserve"> (“Title VII”). Florida courts have endorsed the general rule that, because the FCRA was patterned after Title VII, the Florida statute should be given the same construction as the federal courts give the federal act. See, </w:t>
      </w:r>
      <w:r w:rsidRPr="00B21914">
        <w:rPr>
          <w:rStyle w:val="SJIItalic"/>
          <w:rFonts w:ascii="Bookman Old Style" w:hAnsi="Bookman Old Style"/>
        </w:rPr>
        <w:t>e.g.</w:t>
      </w:r>
      <w:r w:rsidRPr="00B21914">
        <w:rPr>
          <w:rFonts w:ascii="Bookman Old Style" w:hAnsi="Bookman Old Style"/>
        </w:rPr>
        <w:t xml:space="preserve">, </w:t>
      </w:r>
      <w:proofErr w:type="spellStart"/>
      <w:r w:rsidRPr="00B21914">
        <w:rPr>
          <w:rStyle w:val="SJIItalic"/>
          <w:rFonts w:ascii="Bookman Old Style" w:hAnsi="Bookman Old Style"/>
        </w:rPr>
        <w:t>Carsillo</w:t>
      </w:r>
      <w:proofErr w:type="spellEnd"/>
      <w:r w:rsidRPr="00B21914">
        <w:rPr>
          <w:rStyle w:val="SJIItalic"/>
          <w:rFonts w:ascii="Bookman Old Style" w:hAnsi="Bookman Old Style"/>
        </w:rPr>
        <w:t xml:space="preserve"> v. City of Lake Worth</w:t>
      </w:r>
      <w:r w:rsidRPr="00B21914">
        <w:rPr>
          <w:rFonts w:ascii="Bookman Old Style" w:hAnsi="Bookman Old Style"/>
        </w:rPr>
        <w:t>, 995 So. 2d 1118, 1119 (Fla. 4th DCA 2008). In 1991, Congress added the “motivating factor” causation standard to Title VII and added a “same decision” defense limiting damages. The Florida legislature never amended the FCRA to add the “motivating factor” causation standard and the “same decision” defense limiting damages.</w:t>
      </w:r>
    </w:p>
    <w:p w14:paraId="4DDD4A4B" w14:textId="77777777" w:rsidR="0085677E" w:rsidRPr="00B21914" w:rsidRDefault="0085677E" w:rsidP="0085677E">
      <w:pPr>
        <w:pStyle w:val="SJIText1"/>
        <w:rPr>
          <w:rFonts w:ascii="Bookman Old Style" w:hAnsi="Bookman Old Style"/>
        </w:rPr>
      </w:pPr>
      <w:r w:rsidRPr="00B21914">
        <w:rPr>
          <w:rFonts w:ascii="Bookman Old Style" w:hAnsi="Bookman Old Style"/>
        </w:rPr>
        <w:lastRenderedPageBreak/>
        <w:t>3.</w:t>
      </w:r>
      <w:r w:rsidRPr="00B21914">
        <w:rPr>
          <w:rFonts w:ascii="Bookman Old Style" w:hAnsi="Bookman Old Style"/>
        </w:rPr>
        <w:tab/>
      </w:r>
      <w:r w:rsidRPr="00B21914">
        <w:rPr>
          <w:rStyle w:val="SJIItalic"/>
          <w:rFonts w:ascii="Bookman Old Style" w:hAnsi="Bookman Old Style"/>
        </w:rPr>
        <w:t>Pregnancy.</w:t>
      </w:r>
      <w:r w:rsidRPr="00B21914">
        <w:rPr>
          <w:rFonts w:ascii="Bookman Old Style" w:hAnsi="Bookman Old Style"/>
        </w:rPr>
        <w:t xml:space="preserve"> Title VII does not include “pregnancy” as a specifically enumerated factor.  However, Title VII, as amended by the Pregnancy Discrimination Act, defines “[t]he terms ‘because of sex’ or ‘on the basis of sex’” to include “because of or on the basis of pregnancy, childbirth, or related medical conditions[.]” 42 U.S.C. § 2000e(k). “Under Title VII, a plaintiff may prevail on a [pregnancy discrimination] claim by showing that her pregnancy ‘was a motivating factor’ for an employment decision.” </w:t>
      </w:r>
      <w:r w:rsidRPr="00B21914">
        <w:rPr>
          <w:rStyle w:val="SJIItalic"/>
          <w:rFonts w:ascii="Bookman Old Style" w:hAnsi="Bookman Old Style"/>
        </w:rPr>
        <w:t>Holland v. Gee</w:t>
      </w:r>
      <w:r w:rsidRPr="00B21914">
        <w:rPr>
          <w:rFonts w:ascii="Bookman Old Style" w:hAnsi="Bookman Old Style"/>
        </w:rPr>
        <w:t xml:space="preserve">, 677 F.3d 1047, 1055 (11th Cir. 2012) (citing 42 U.S.C. § 2000e-2(m)); </w:t>
      </w:r>
      <w:r w:rsidRPr="00B21914">
        <w:rPr>
          <w:rStyle w:val="SJIItalic"/>
          <w:rFonts w:ascii="Bookman Old Style" w:hAnsi="Bookman Old Style"/>
        </w:rPr>
        <w:t>Torres-</w:t>
      </w:r>
      <w:proofErr w:type="spellStart"/>
      <w:r w:rsidRPr="00B21914">
        <w:rPr>
          <w:rStyle w:val="SJIItalic"/>
          <w:rFonts w:ascii="Bookman Old Style" w:hAnsi="Bookman Old Style"/>
        </w:rPr>
        <w:t>Skair</w:t>
      </w:r>
      <w:proofErr w:type="spellEnd"/>
      <w:r w:rsidRPr="00B21914">
        <w:rPr>
          <w:rStyle w:val="SJIItalic"/>
          <w:rFonts w:ascii="Bookman Old Style" w:hAnsi="Bookman Old Style"/>
        </w:rPr>
        <w:t xml:space="preserve"> v. Medco Health Solutions, Inc.</w:t>
      </w:r>
      <w:r w:rsidRPr="00B21914">
        <w:rPr>
          <w:rFonts w:ascii="Bookman Old Style" w:hAnsi="Bookman Old Style"/>
        </w:rPr>
        <w:t>, 595 Fed. Appx. 847, 852 (11th Cir. 2014) (same).</w:t>
      </w:r>
    </w:p>
    <w:p w14:paraId="3D780C0B" w14:textId="77777777" w:rsidR="0085677E" w:rsidRPr="00B21914" w:rsidRDefault="0085677E" w:rsidP="0085677E">
      <w:pPr>
        <w:pStyle w:val="SJIText1"/>
        <w:rPr>
          <w:rFonts w:ascii="Bookman Old Style" w:hAnsi="Bookman Old Style"/>
        </w:rPr>
      </w:pPr>
      <w:r w:rsidRPr="00B21914">
        <w:rPr>
          <w:rFonts w:ascii="Bookman Old Style" w:hAnsi="Bookman Old Style"/>
        </w:rPr>
        <w:t xml:space="preserve">The Florida Legislature amended the FCRA to include pregnancy as a specifically enumerated factor, effective July 1, 2015. </w:t>
      </w:r>
      <w:r w:rsidRPr="00B21914">
        <w:rPr>
          <w:rStyle w:val="SJIItalic"/>
          <w:rFonts w:ascii="Bookman Old Style" w:hAnsi="Bookman Old Style"/>
        </w:rPr>
        <w:t>F.S.</w:t>
      </w:r>
      <w:r w:rsidRPr="00B21914">
        <w:rPr>
          <w:rFonts w:ascii="Bookman Old Style" w:hAnsi="Bookman Old Style"/>
        </w:rPr>
        <w:t xml:space="preserve"> 760.10; Laws 2015, c. 2015-68, § 6. Prior to that amendment, the Florida Supreme Court held that the FCRA’s prescription against discrimination because of “sex” includes discrimination based on pregnancy. </w:t>
      </w:r>
      <w:proofErr w:type="spellStart"/>
      <w:r w:rsidRPr="00B21914">
        <w:rPr>
          <w:rStyle w:val="SJIItalic"/>
          <w:rFonts w:ascii="Bookman Old Style" w:hAnsi="Bookman Old Style"/>
        </w:rPr>
        <w:t>Delva</w:t>
      </w:r>
      <w:proofErr w:type="spellEnd"/>
      <w:r w:rsidRPr="00B21914">
        <w:rPr>
          <w:rStyle w:val="SJIItalic"/>
          <w:rFonts w:ascii="Bookman Old Style" w:hAnsi="Bookman Old Style"/>
        </w:rPr>
        <w:t xml:space="preserve"> v. Continental Group, Inc.</w:t>
      </w:r>
      <w:r w:rsidRPr="00B21914">
        <w:rPr>
          <w:rFonts w:ascii="Bookman Old Style" w:hAnsi="Bookman Old Style"/>
        </w:rPr>
        <w:t xml:space="preserve">, 137 So. 3d 371, 375 (Fla. 2014). No Florida appellate court has stated which causation standard should be used for an FCRA discrimination claim based on pregnancy. However, the “motivating factor” causation standard has been utilized in pregnancy discrimination claims brought concurrently under the FCRA and Title VII.  See, </w:t>
      </w:r>
      <w:r w:rsidRPr="00B21914">
        <w:rPr>
          <w:rStyle w:val="SJIItalic"/>
          <w:rFonts w:ascii="Bookman Old Style" w:hAnsi="Bookman Old Style"/>
        </w:rPr>
        <w:t>e.g.</w:t>
      </w:r>
      <w:r w:rsidRPr="00B21914">
        <w:rPr>
          <w:rFonts w:ascii="Bookman Old Style" w:hAnsi="Bookman Old Style"/>
        </w:rPr>
        <w:t xml:space="preserve">, </w:t>
      </w:r>
      <w:r w:rsidRPr="00B21914">
        <w:rPr>
          <w:rStyle w:val="SJIItalic"/>
          <w:rFonts w:ascii="Bookman Old Style" w:hAnsi="Bookman Old Style"/>
        </w:rPr>
        <w:t>Gee</w:t>
      </w:r>
      <w:r w:rsidRPr="00B21914">
        <w:rPr>
          <w:rFonts w:ascii="Bookman Old Style" w:hAnsi="Bookman Old Style"/>
        </w:rPr>
        <w:t xml:space="preserve">, 677 F.3d at 1054–1055, 1058–1059, 1062–1063 (noting that decisions construing Title VII guide the analysis of the plaintiff-employee’s pregnancy discrimination claim under the FCRA); </w:t>
      </w:r>
      <w:r w:rsidRPr="00B21914">
        <w:rPr>
          <w:rStyle w:val="SJIItalic"/>
          <w:rFonts w:ascii="Bookman Old Style" w:hAnsi="Bookman Old Style"/>
        </w:rPr>
        <w:t>Torres-</w:t>
      </w:r>
      <w:proofErr w:type="spellStart"/>
      <w:r w:rsidRPr="00B21914">
        <w:rPr>
          <w:rStyle w:val="SJIItalic"/>
          <w:rFonts w:ascii="Bookman Old Style" w:hAnsi="Bookman Old Style"/>
        </w:rPr>
        <w:t>Skair</w:t>
      </w:r>
      <w:proofErr w:type="spellEnd"/>
      <w:r w:rsidRPr="00B21914">
        <w:rPr>
          <w:rFonts w:ascii="Bookman Old Style" w:hAnsi="Bookman Old Style"/>
        </w:rPr>
        <w:t xml:space="preserve">, 595 Fed. Appx. at 852–853. </w:t>
      </w:r>
    </w:p>
    <w:p w14:paraId="4172D1F2" w14:textId="77777777" w:rsidR="0085677E" w:rsidRPr="00B21914" w:rsidRDefault="0085677E" w:rsidP="0085677E">
      <w:pPr>
        <w:pStyle w:val="SJIText1"/>
        <w:rPr>
          <w:rFonts w:ascii="Bookman Old Style" w:hAnsi="Bookman Old Style"/>
        </w:rPr>
      </w:pPr>
      <w:r w:rsidRPr="00B21914">
        <w:rPr>
          <w:rFonts w:ascii="Bookman Old Style" w:hAnsi="Bookman Old Style"/>
        </w:rPr>
        <w:t>4.</w:t>
      </w:r>
      <w:r w:rsidRPr="00B21914">
        <w:rPr>
          <w:rFonts w:ascii="Bookman Old Style" w:hAnsi="Bookman Old Style"/>
        </w:rPr>
        <w:tab/>
      </w:r>
      <w:r w:rsidRPr="00B21914">
        <w:rPr>
          <w:rStyle w:val="SJIItalic"/>
          <w:rFonts w:ascii="Bookman Old Style" w:hAnsi="Bookman Old Style"/>
        </w:rPr>
        <w:t>Age.</w:t>
      </w:r>
      <w:r w:rsidRPr="00B21914">
        <w:rPr>
          <w:rFonts w:ascii="Bookman Old Style" w:hAnsi="Bookman Old Style"/>
        </w:rPr>
        <w:t xml:space="preserve"> Courts have held that decisions construing the federal Age Discrimination in Employment Act (ADEA) apply to the FCRA’s age discrimination provision. See, </w:t>
      </w:r>
      <w:r w:rsidRPr="00B21914">
        <w:rPr>
          <w:rStyle w:val="SJIItalic"/>
          <w:rFonts w:ascii="Bookman Old Style" w:hAnsi="Bookman Old Style"/>
        </w:rPr>
        <w:t>e.g.</w:t>
      </w:r>
      <w:r w:rsidRPr="00B21914">
        <w:rPr>
          <w:rFonts w:ascii="Bookman Old Style" w:hAnsi="Bookman Old Style"/>
        </w:rPr>
        <w:t xml:space="preserve">, </w:t>
      </w:r>
      <w:r w:rsidRPr="00B21914">
        <w:rPr>
          <w:rStyle w:val="SJIItalic"/>
          <w:rFonts w:ascii="Bookman Old Style" w:hAnsi="Bookman Old Style"/>
        </w:rPr>
        <w:t xml:space="preserve">Fla. State Univ. v. </w:t>
      </w:r>
      <w:proofErr w:type="spellStart"/>
      <w:r w:rsidRPr="00B21914">
        <w:rPr>
          <w:rStyle w:val="SJIItalic"/>
          <w:rFonts w:ascii="Bookman Old Style" w:hAnsi="Bookman Old Style"/>
        </w:rPr>
        <w:t>Sondel</w:t>
      </w:r>
      <w:proofErr w:type="spellEnd"/>
      <w:r w:rsidRPr="00B21914">
        <w:rPr>
          <w:rFonts w:ascii="Bookman Old Style" w:hAnsi="Bookman Old Style"/>
        </w:rPr>
        <w:t xml:space="preserve">, 685 So. 2d 923 (Fla. 1st DCA 1996). The U.S. Supreme Court interpreted the ADEA to require “but for” causation. </w:t>
      </w:r>
      <w:r w:rsidRPr="00B21914">
        <w:rPr>
          <w:rStyle w:val="SJIItalic"/>
          <w:rFonts w:ascii="Bookman Old Style" w:hAnsi="Bookman Old Style"/>
        </w:rPr>
        <w:t>Gross v. FFL Fin. Servs., Inc.</w:t>
      </w:r>
      <w:r w:rsidRPr="00B21914">
        <w:rPr>
          <w:rFonts w:ascii="Bookman Old Style" w:hAnsi="Bookman Old Style"/>
        </w:rPr>
        <w:t xml:space="preserve">, 557 U.S. 167, 176 (2009). </w:t>
      </w:r>
    </w:p>
    <w:p w14:paraId="6CED037C" w14:textId="77777777" w:rsidR="0085677E" w:rsidRPr="00B21914" w:rsidRDefault="0085677E" w:rsidP="0085677E">
      <w:pPr>
        <w:pStyle w:val="SJIText1"/>
        <w:rPr>
          <w:rFonts w:ascii="Bookman Old Style" w:hAnsi="Bookman Old Style"/>
        </w:rPr>
      </w:pPr>
      <w:r w:rsidRPr="00B21914">
        <w:rPr>
          <w:rFonts w:ascii="Bookman Old Style" w:hAnsi="Bookman Old Style"/>
        </w:rPr>
        <w:t>5.</w:t>
      </w:r>
      <w:r w:rsidRPr="00B21914">
        <w:rPr>
          <w:rFonts w:ascii="Bookman Old Style" w:hAnsi="Bookman Old Style"/>
        </w:rPr>
        <w:tab/>
      </w:r>
      <w:r w:rsidRPr="00B21914">
        <w:rPr>
          <w:rStyle w:val="SJIItalic"/>
          <w:rFonts w:ascii="Bookman Old Style" w:hAnsi="Bookman Old Style"/>
        </w:rPr>
        <w:t>Handicap.</w:t>
      </w:r>
      <w:r w:rsidRPr="00B21914">
        <w:rPr>
          <w:rFonts w:ascii="Bookman Old Style" w:hAnsi="Bookman Old Style"/>
        </w:rPr>
        <w:t xml:space="preserve"> Courts have held that decisions construing the federal Americans with Disabilities Act (ADA) apply to FCRA’s handicap discrimination provision. See, </w:t>
      </w:r>
      <w:r w:rsidRPr="00B21914">
        <w:rPr>
          <w:rStyle w:val="SJIItalic"/>
          <w:rFonts w:ascii="Bookman Old Style" w:hAnsi="Bookman Old Style"/>
        </w:rPr>
        <w:t>e.g.</w:t>
      </w:r>
      <w:r w:rsidRPr="00B21914">
        <w:rPr>
          <w:rFonts w:ascii="Bookman Old Style" w:hAnsi="Bookman Old Style"/>
        </w:rPr>
        <w:t xml:space="preserve">, </w:t>
      </w:r>
      <w:r w:rsidRPr="00B21914">
        <w:rPr>
          <w:rStyle w:val="SJIItalic"/>
          <w:rFonts w:ascii="Bookman Old Style" w:hAnsi="Bookman Old Style"/>
        </w:rPr>
        <w:t>Byrd v. BT Foods, Inc.</w:t>
      </w:r>
      <w:r w:rsidRPr="00B21914">
        <w:rPr>
          <w:rFonts w:ascii="Bookman Old Style" w:hAnsi="Bookman Old Style"/>
        </w:rPr>
        <w:t xml:space="preserve">, 26 So. 3d 600 (Fla. 4th DCA 2010). There is a split among the </w:t>
      </w:r>
      <w:r w:rsidRPr="00B21914">
        <w:rPr>
          <w:rFonts w:ascii="Bookman Old Style" w:hAnsi="Bookman Old Style"/>
        </w:rPr>
        <w:lastRenderedPageBreak/>
        <w:t xml:space="preserve">federal circuits as to whether the ADA requires “motivating factor” or “but for” causation. Compare </w:t>
      </w:r>
      <w:r w:rsidRPr="00B21914">
        <w:rPr>
          <w:rStyle w:val="SJIItalic"/>
          <w:rFonts w:ascii="Bookman Old Style" w:hAnsi="Bookman Old Style"/>
        </w:rPr>
        <w:t>Pinkerton v. Spellings</w:t>
      </w:r>
      <w:r w:rsidRPr="00B21914">
        <w:rPr>
          <w:rFonts w:ascii="Bookman Old Style" w:hAnsi="Bookman Old Style"/>
        </w:rPr>
        <w:t xml:space="preserve">, 529 F.3d 513, 519 (5th Cir. 2008) (“motivating factor”), with </w:t>
      </w:r>
      <w:r w:rsidRPr="00B21914">
        <w:rPr>
          <w:rStyle w:val="SJIItalic"/>
          <w:rFonts w:ascii="Bookman Old Style" w:hAnsi="Bookman Old Style"/>
        </w:rPr>
        <w:t>Lewis v. Humboldt Acquisition Corp.</w:t>
      </w:r>
      <w:r w:rsidRPr="00B21914">
        <w:rPr>
          <w:rFonts w:ascii="Bookman Old Style" w:hAnsi="Bookman Old Style"/>
        </w:rPr>
        <w:t xml:space="preserve">, 681 F.3d 312, 322 (6th Cir. 2012) (“but for”). </w:t>
      </w:r>
    </w:p>
    <w:p w14:paraId="5BAB8C54" w14:textId="77777777" w:rsidR="0085677E" w:rsidRPr="00B21914" w:rsidRDefault="0085677E" w:rsidP="0085677E">
      <w:pPr>
        <w:pStyle w:val="SJIText1"/>
        <w:rPr>
          <w:rFonts w:ascii="Bookman Old Style" w:hAnsi="Bookman Old Style"/>
        </w:rPr>
      </w:pPr>
      <w:r w:rsidRPr="00B21914">
        <w:rPr>
          <w:rFonts w:ascii="Bookman Old Style" w:hAnsi="Bookman Old Style"/>
        </w:rPr>
        <w:t>6.</w:t>
      </w:r>
      <w:r w:rsidRPr="00B21914">
        <w:rPr>
          <w:rFonts w:ascii="Bookman Old Style" w:hAnsi="Bookman Old Style"/>
        </w:rPr>
        <w:tab/>
      </w:r>
      <w:r w:rsidRPr="00B21914">
        <w:rPr>
          <w:rStyle w:val="SJIItalic"/>
          <w:rFonts w:ascii="Bookman Old Style" w:hAnsi="Bookman Old Style"/>
        </w:rPr>
        <w:t>Marital Status.</w:t>
      </w:r>
      <w:r w:rsidRPr="00B21914">
        <w:rPr>
          <w:rFonts w:ascii="Bookman Old Style" w:hAnsi="Bookman Old Style"/>
        </w:rPr>
        <w:t xml:space="preserve"> Marital status discrimination cases decided under the FCRA do not provide clear guidance on the causation standard to be applied. See </w:t>
      </w:r>
      <w:r w:rsidRPr="00B21914">
        <w:rPr>
          <w:rStyle w:val="SJIItalic"/>
          <w:rFonts w:ascii="Bookman Old Style" w:hAnsi="Bookman Old Style"/>
        </w:rPr>
        <w:t>Sanders v. Mayor’s Jewelers, Inc.</w:t>
      </w:r>
      <w:r w:rsidRPr="00B21914">
        <w:rPr>
          <w:rFonts w:ascii="Bookman Old Style" w:hAnsi="Bookman Old Style"/>
        </w:rPr>
        <w:t xml:space="preserve">, 942 F. Supp. 571 (S.D. Fla. 1996) (holding that complaint alleging “discriminatory intent” or marital status “as motivating factor” was sufficient to state a claim); </w:t>
      </w:r>
      <w:proofErr w:type="spellStart"/>
      <w:r w:rsidRPr="00B21914">
        <w:rPr>
          <w:rStyle w:val="SJIItalic"/>
          <w:rFonts w:ascii="Bookman Old Style" w:hAnsi="Bookman Old Style"/>
        </w:rPr>
        <w:t>Nat’l</w:t>
      </w:r>
      <w:proofErr w:type="spellEnd"/>
      <w:r w:rsidRPr="00B21914">
        <w:rPr>
          <w:rStyle w:val="SJIItalic"/>
          <w:rFonts w:ascii="Bookman Old Style" w:hAnsi="Bookman Old Style"/>
        </w:rPr>
        <w:t xml:space="preserve"> Indus., Inc. v. Comm’n on Human Relations</w:t>
      </w:r>
      <w:r w:rsidRPr="00B21914">
        <w:rPr>
          <w:rFonts w:ascii="Bookman Old Style" w:hAnsi="Bookman Old Style"/>
        </w:rPr>
        <w:t xml:space="preserve">, 527 So. 2d 894 (Fla. 5th DCA 1988) (holding that, because no record of the hearing was provided, the agency could not reject the hearing officer’s finding that marital status was not “a motivating factor” and that no “discriminatory intent” was present). </w:t>
      </w:r>
    </w:p>
    <w:p w14:paraId="5F335C17" w14:textId="77777777" w:rsidR="0085677E" w:rsidRPr="00B21914" w:rsidRDefault="0085677E" w:rsidP="0085677E">
      <w:pPr>
        <w:pStyle w:val="SJIText1"/>
        <w:rPr>
          <w:rFonts w:ascii="Bookman Old Style" w:hAnsi="Bookman Old Style"/>
        </w:rPr>
      </w:pPr>
      <w:r w:rsidRPr="00B21914">
        <w:rPr>
          <w:rFonts w:ascii="Bookman Old Style" w:hAnsi="Bookman Old Style"/>
        </w:rPr>
        <w:t xml:space="preserve">The Florida Supreme Court has held that the term “marital status,” as used in the FCRA section prohibiting discrimination based on marital status, “means the state of being married, single, divorced, widowed or separated, and does not include the specific identity or actions of an individual’s spouse.”  </w:t>
      </w:r>
      <w:r w:rsidRPr="00B21914">
        <w:rPr>
          <w:rStyle w:val="SJIItalic"/>
          <w:rFonts w:ascii="Bookman Old Style" w:hAnsi="Bookman Old Style"/>
        </w:rPr>
        <w:t>Donato v. American Tel. &amp; Tel. Co.</w:t>
      </w:r>
      <w:r w:rsidRPr="00B21914">
        <w:rPr>
          <w:rFonts w:ascii="Bookman Old Style" w:hAnsi="Bookman Old Style"/>
        </w:rPr>
        <w:t xml:space="preserve">, 767 So. 2d 1146, 1154–1155 (Fla. 2000).   </w:t>
      </w:r>
    </w:p>
    <w:p w14:paraId="5060B592" w14:textId="77777777" w:rsidR="0085677E" w:rsidRPr="00B21914" w:rsidRDefault="0085677E" w:rsidP="0085677E">
      <w:pPr>
        <w:pStyle w:val="SJIText1"/>
        <w:rPr>
          <w:rFonts w:ascii="Bookman Old Style" w:hAnsi="Bookman Old Style"/>
        </w:rPr>
      </w:pPr>
      <w:r w:rsidRPr="00B21914">
        <w:rPr>
          <w:rFonts w:ascii="Bookman Old Style" w:hAnsi="Bookman Old Style"/>
        </w:rPr>
        <w:t>7.</w:t>
      </w:r>
      <w:r w:rsidRPr="00B21914">
        <w:rPr>
          <w:rFonts w:ascii="Bookman Old Style" w:hAnsi="Bookman Old Style"/>
        </w:rPr>
        <w:tab/>
        <w:t xml:space="preserve">The committee takes no position as to whether a trial court should instruct on a permissive inference of pretext, that is, the employer’s stated reason for the adverse employment action was not the real reason but was given to hide a discriminatory reason.  No Florida appellate decision has addressed the issue in a trial context.  At least one Florida appellate decision has employed the pretext consideration in the context of a summary judgment motion. See generally </w:t>
      </w:r>
      <w:proofErr w:type="spellStart"/>
      <w:r w:rsidRPr="00B21914">
        <w:rPr>
          <w:rStyle w:val="SJIItalic"/>
          <w:rFonts w:ascii="Bookman Old Style" w:hAnsi="Bookman Old Style"/>
        </w:rPr>
        <w:t>Feizi</w:t>
      </w:r>
      <w:proofErr w:type="spellEnd"/>
      <w:r w:rsidRPr="00B21914">
        <w:rPr>
          <w:rStyle w:val="SJIItalic"/>
          <w:rFonts w:ascii="Bookman Old Style" w:hAnsi="Bookman Old Style"/>
        </w:rPr>
        <w:t xml:space="preserve"> v. </w:t>
      </w:r>
      <w:proofErr w:type="spellStart"/>
      <w:r w:rsidRPr="00B21914">
        <w:rPr>
          <w:rStyle w:val="SJIItalic"/>
          <w:rFonts w:ascii="Bookman Old Style" w:hAnsi="Bookman Old Style"/>
        </w:rPr>
        <w:t>Dep’t</w:t>
      </w:r>
      <w:proofErr w:type="spellEnd"/>
      <w:r w:rsidRPr="00B21914">
        <w:rPr>
          <w:rStyle w:val="SJIItalic"/>
          <w:rFonts w:ascii="Bookman Old Style" w:hAnsi="Bookman Old Style"/>
        </w:rPr>
        <w:t xml:space="preserve"> of Mgmt. Servs.</w:t>
      </w:r>
      <w:r w:rsidRPr="00B21914">
        <w:rPr>
          <w:rFonts w:ascii="Bookman Old Style" w:hAnsi="Bookman Old Style"/>
        </w:rPr>
        <w:t xml:space="preserve">, 988 So. 2d 1192 (Fla. 1st DCA 2008) (reversing summary judgment where evidence was susceptible to a reasonable inference that the explanation offered by the defendant for eliminating plaintiff’s job was pretextual). There is disagreement among the federal circuits as to whether a pretext instruction is required in employment discrimination cases under Title VII. See </w:t>
      </w:r>
      <w:r w:rsidRPr="00B21914">
        <w:rPr>
          <w:rStyle w:val="SJIItalic"/>
          <w:rFonts w:ascii="Bookman Old Style" w:hAnsi="Bookman Old Style"/>
        </w:rPr>
        <w:t xml:space="preserve">Ratliff v. City of </w:t>
      </w:r>
      <w:r w:rsidRPr="00B21914">
        <w:rPr>
          <w:rStyle w:val="SJIItalic"/>
          <w:rFonts w:ascii="Bookman Old Style" w:hAnsi="Bookman Old Style"/>
        </w:rPr>
        <w:lastRenderedPageBreak/>
        <w:t>Gainesville</w:t>
      </w:r>
      <w:r w:rsidRPr="00B21914">
        <w:rPr>
          <w:rFonts w:ascii="Bookman Old Style" w:hAnsi="Bookman Old Style"/>
        </w:rPr>
        <w:t xml:space="preserve">, 256 F.3d 355 (5th Cir. 2001) (error not to give pretext inference instruction), with </w:t>
      </w:r>
      <w:r w:rsidRPr="00B21914">
        <w:rPr>
          <w:rStyle w:val="SJIItalic"/>
          <w:rFonts w:ascii="Bookman Old Style" w:hAnsi="Bookman Old Style"/>
        </w:rPr>
        <w:t>Palmer v. Bd. of Regents</w:t>
      </w:r>
      <w:r w:rsidRPr="00B21914">
        <w:rPr>
          <w:rFonts w:ascii="Bookman Old Style" w:hAnsi="Bookman Old Style"/>
        </w:rPr>
        <w:t xml:space="preserve">, 208 F.3d 969 (11th Cir. 2000) (no error in refusing to instruct jury that it could infer discrimination if it believed plaintiff’s prima facie case and disbelieved defendant’s reason for adverse employment action). </w:t>
      </w:r>
    </w:p>
    <w:p w14:paraId="29228C5D" w14:textId="77777777" w:rsidR="0085677E" w:rsidRPr="00B21914" w:rsidRDefault="0085677E" w:rsidP="0085677E">
      <w:pPr>
        <w:pStyle w:val="SJIText1"/>
        <w:rPr>
          <w:rFonts w:ascii="Bookman Old Style" w:hAnsi="Bookman Old Style"/>
        </w:rPr>
      </w:pPr>
      <w:r w:rsidRPr="00B21914">
        <w:rPr>
          <w:rFonts w:ascii="Bookman Old Style" w:hAnsi="Bookman Old Style"/>
        </w:rPr>
        <w:t>8.</w:t>
      </w:r>
      <w:r w:rsidRPr="00B21914">
        <w:rPr>
          <w:rFonts w:ascii="Bookman Old Style" w:hAnsi="Bookman Old Style"/>
        </w:rPr>
        <w:tab/>
      </w:r>
      <w:r w:rsidRPr="00B21914">
        <w:rPr>
          <w:rStyle w:val="SJIItalic"/>
          <w:rFonts w:ascii="Bookman Old Style" w:hAnsi="Bookman Old Style"/>
        </w:rPr>
        <w:t>Cat’s Paw.</w:t>
      </w:r>
      <w:r w:rsidRPr="00B21914">
        <w:rPr>
          <w:rFonts w:ascii="Bookman Old Style" w:hAnsi="Bookman Old Style"/>
        </w:rPr>
        <w:t xml:space="preserve">  There is an additional theory of causation in federal discrimination cases referred to as the “cat’s paw.”  This theory recognizes that, in certain situations, a biased supervisor’s discriminatory animus may be the cause of the adverse employment action even though the actual decision-maker did not possess that discriminatory animus.  See </w:t>
      </w:r>
      <w:r w:rsidRPr="00B21914">
        <w:rPr>
          <w:rStyle w:val="SJIItalic"/>
          <w:rFonts w:ascii="Bookman Old Style" w:hAnsi="Bookman Old Style"/>
        </w:rPr>
        <w:t>Staub v. Proctor Hosp.</w:t>
      </w:r>
      <w:r w:rsidRPr="00B21914">
        <w:rPr>
          <w:rFonts w:ascii="Bookman Old Style" w:hAnsi="Bookman Old Style"/>
        </w:rPr>
        <w:t xml:space="preserve">, 562 U.S. 411 (2011); </w:t>
      </w:r>
      <w:r w:rsidRPr="00B21914">
        <w:rPr>
          <w:rStyle w:val="SJIItalic"/>
          <w:rFonts w:ascii="Bookman Old Style" w:hAnsi="Bookman Old Style"/>
        </w:rPr>
        <w:t xml:space="preserve">Fla. </w:t>
      </w:r>
      <w:proofErr w:type="spellStart"/>
      <w:r w:rsidRPr="00B21914">
        <w:rPr>
          <w:rStyle w:val="SJIItalic"/>
          <w:rFonts w:ascii="Bookman Old Style" w:hAnsi="Bookman Old Style"/>
        </w:rPr>
        <w:t>Dep’t</w:t>
      </w:r>
      <w:proofErr w:type="spellEnd"/>
      <w:r w:rsidRPr="00B21914">
        <w:rPr>
          <w:rStyle w:val="SJIItalic"/>
          <w:rFonts w:ascii="Bookman Old Style" w:hAnsi="Bookman Old Style"/>
        </w:rPr>
        <w:t xml:space="preserve"> of Children &amp; Families v. Shapiro</w:t>
      </w:r>
      <w:r w:rsidRPr="00B21914">
        <w:rPr>
          <w:rFonts w:ascii="Bookman Old Style" w:hAnsi="Bookman Old Style"/>
        </w:rPr>
        <w:t xml:space="preserve">, 68 So. 3d 298, 306 (Fla. 4th DCA 2011).  If the cat’s paw theory of causation applies, additional instructions may be necessary.  See, </w:t>
      </w:r>
      <w:r w:rsidRPr="00B21914">
        <w:rPr>
          <w:rStyle w:val="SJIItalic"/>
          <w:rFonts w:ascii="Bookman Old Style" w:hAnsi="Bookman Old Style"/>
        </w:rPr>
        <w:t>e.g.</w:t>
      </w:r>
      <w:r w:rsidRPr="00B21914">
        <w:rPr>
          <w:rFonts w:ascii="Bookman Old Style" w:hAnsi="Bookman Old Style"/>
        </w:rPr>
        <w:t>, Eleventh Circuit Pattern Jury Instruction 4.5.</w:t>
      </w:r>
    </w:p>
    <w:p w14:paraId="2D6F9BF6" w14:textId="77777777" w:rsidR="0085677E" w:rsidRPr="00B21914" w:rsidRDefault="0085677E" w:rsidP="0085677E">
      <w:pPr>
        <w:pStyle w:val="SJIText1"/>
        <w:rPr>
          <w:rFonts w:ascii="Bookman Old Style" w:hAnsi="Bookman Old Style"/>
        </w:rPr>
      </w:pPr>
      <w:r w:rsidRPr="00B21914">
        <w:rPr>
          <w:rFonts w:ascii="Bookman Old Style" w:hAnsi="Bookman Old Style"/>
        </w:rPr>
        <w:t>9.</w:t>
      </w:r>
      <w:r w:rsidRPr="00B21914">
        <w:rPr>
          <w:rFonts w:ascii="Bookman Old Style" w:hAnsi="Bookman Old Style"/>
        </w:rPr>
        <w:tab/>
      </w:r>
      <w:r w:rsidRPr="00B21914">
        <w:rPr>
          <w:rStyle w:val="SJIItalic"/>
          <w:rFonts w:ascii="Bookman Old Style" w:hAnsi="Bookman Old Style"/>
        </w:rPr>
        <w:t>Same Actor Inference.</w:t>
      </w:r>
      <w:r w:rsidRPr="00B21914">
        <w:rPr>
          <w:rFonts w:ascii="Bookman Old Style" w:hAnsi="Bookman Old Style"/>
        </w:rPr>
        <w:t xml:space="preserve">  The law recognizes a permissible inference that discriminatory animus was not the cause of an adverse employment action when the person who hired the claimant is the same person who made the decision to take the adverse employment action.  See </w:t>
      </w:r>
      <w:r w:rsidRPr="00B21914">
        <w:rPr>
          <w:rStyle w:val="SJIItalic"/>
          <w:rFonts w:ascii="Bookman Old Style" w:hAnsi="Bookman Old Style"/>
        </w:rPr>
        <w:t>Brown Distributing Co. of West Palm Beach v. Marcell</w:t>
      </w:r>
      <w:r w:rsidRPr="00B21914">
        <w:rPr>
          <w:rFonts w:ascii="Bookman Old Style" w:hAnsi="Bookman Old Style"/>
        </w:rPr>
        <w:t xml:space="preserve">, 890 So. 2d 1227, 1232 (Fla. 4th DCA 2005); see also </w:t>
      </w:r>
      <w:r w:rsidRPr="00B21914">
        <w:rPr>
          <w:rStyle w:val="SJIItalic"/>
          <w:rFonts w:ascii="Bookman Old Style" w:hAnsi="Bookman Old Style"/>
        </w:rPr>
        <w:t>Williams v. Vitro Servs. Corp.</w:t>
      </w:r>
      <w:r w:rsidRPr="00B21914">
        <w:rPr>
          <w:rFonts w:ascii="Bookman Old Style" w:hAnsi="Bookman Old Style"/>
        </w:rPr>
        <w:t xml:space="preserve">, 144 F.3d 1438, 1442–43 (11th Cir. 1998).  A Florida appellate court has held it is reversible error to refuse to give an instruction on the “same actor” inference when it has been requested and applies to the circumstances of the case.  See, </w:t>
      </w:r>
      <w:r w:rsidRPr="00B21914">
        <w:rPr>
          <w:rStyle w:val="SJIItalic"/>
          <w:rFonts w:ascii="Bookman Old Style" w:hAnsi="Bookman Old Style"/>
        </w:rPr>
        <w:t>e.g.</w:t>
      </w:r>
      <w:r w:rsidRPr="00B21914">
        <w:rPr>
          <w:rFonts w:ascii="Bookman Old Style" w:hAnsi="Bookman Old Style"/>
        </w:rPr>
        <w:t xml:space="preserve">, </w:t>
      </w:r>
      <w:r w:rsidRPr="00B21914">
        <w:rPr>
          <w:rStyle w:val="SJIItalic"/>
          <w:rFonts w:ascii="Bookman Old Style" w:hAnsi="Bookman Old Style"/>
        </w:rPr>
        <w:t>Brown Distributing Co.</w:t>
      </w:r>
      <w:r w:rsidRPr="00B21914">
        <w:rPr>
          <w:rFonts w:ascii="Bookman Old Style" w:hAnsi="Bookman Old Style"/>
        </w:rPr>
        <w:t>, 890 So. 2d at 1232.  Additional instructions may thus be necessary based on the circumstances of a particular case.</w:t>
      </w:r>
    </w:p>
    <w:p w14:paraId="2DBEED7B" w14:textId="77777777" w:rsidR="000C7AE9" w:rsidRPr="00B21914" w:rsidRDefault="000C7AE9" w:rsidP="00252AB0">
      <w:pPr>
        <w:rPr>
          <w:rFonts w:ascii="Bookman Old Style" w:hAnsi="Bookman Old Style"/>
        </w:rPr>
      </w:pPr>
    </w:p>
    <w:sectPr w:rsidR="000C7AE9" w:rsidRPr="00B2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Bold">
    <w:altName w:val="Times New Roman"/>
    <w:panose1 w:val="02020803070505020304"/>
    <w:charset w:val="00"/>
    <w:family w:val="roman"/>
    <w:notTrueType/>
    <w:pitch w:val="default"/>
  </w:font>
  <w:font w:name="Bookman Old Style">
    <w:altName w:val="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SortMethod w:val="00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77E"/>
    <w:rsid w:val="000C7AE9"/>
    <w:rsid w:val="000D5A82"/>
    <w:rsid w:val="001D7B5E"/>
    <w:rsid w:val="002132D6"/>
    <w:rsid w:val="00252AB0"/>
    <w:rsid w:val="0027486D"/>
    <w:rsid w:val="002B25AA"/>
    <w:rsid w:val="00496540"/>
    <w:rsid w:val="004E4E55"/>
    <w:rsid w:val="005B129F"/>
    <w:rsid w:val="005C566E"/>
    <w:rsid w:val="005C6597"/>
    <w:rsid w:val="00630435"/>
    <w:rsid w:val="006A162C"/>
    <w:rsid w:val="006E1A49"/>
    <w:rsid w:val="00852874"/>
    <w:rsid w:val="0085677E"/>
    <w:rsid w:val="008D2AE9"/>
    <w:rsid w:val="00917368"/>
    <w:rsid w:val="00AB01C8"/>
    <w:rsid w:val="00B21914"/>
    <w:rsid w:val="00B335C7"/>
    <w:rsid w:val="00B54AB4"/>
    <w:rsid w:val="00BD3F56"/>
    <w:rsid w:val="00C01AA3"/>
    <w:rsid w:val="00C05D35"/>
    <w:rsid w:val="00D17517"/>
    <w:rsid w:val="00D67741"/>
    <w:rsid w:val="00D90E18"/>
    <w:rsid w:val="00DA5CC2"/>
    <w:rsid w:val="00E07114"/>
    <w:rsid w:val="00E2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0D91"/>
  <w15:chartTrackingRefBased/>
  <w15:docId w15:val="{A5EFFD09-E768-457B-BF75-C89B3F66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B0"/>
    <w:pPr>
      <w:spacing w:line="240" w:lineRule="auto"/>
    </w:pPr>
    <w:rPr>
      <w:rFonts w:ascii="Times New Roman" w:hAnsi="Times New Roman"/>
      <w:sz w:val="28"/>
    </w:rPr>
  </w:style>
  <w:style w:type="paragraph" w:styleId="Heading1">
    <w:name w:val="heading 1"/>
    <w:basedOn w:val="Normal"/>
    <w:next w:val="Normal"/>
    <w:link w:val="Heading1Char"/>
    <w:uiPriority w:val="9"/>
    <w:semiHidden/>
    <w:rsid w:val="0091736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qFormat/>
    <w:rsid w:val="004E4E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Text1">
    <w:name w:val="Rules Text 1"/>
    <w:basedOn w:val="Normal"/>
    <w:qFormat/>
    <w:rsid w:val="00AB01C8"/>
    <w:pPr>
      <w:spacing w:after="280"/>
      <w:ind w:firstLine="720"/>
    </w:pPr>
  </w:style>
  <w:style w:type="paragraph" w:customStyle="1" w:styleId="RulesText2">
    <w:name w:val="Rules Text 2"/>
    <w:basedOn w:val="Normal"/>
    <w:qFormat/>
    <w:rsid w:val="00AB01C8"/>
    <w:pPr>
      <w:spacing w:after="280"/>
      <w:ind w:firstLine="1440"/>
    </w:pPr>
  </w:style>
  <w:style w:type="paragraph" w:customStyle="1" w:styleId="RulesText3">
    <w:name w:val="Rules Text 3"/>
    <w:basedOn w:val="Normal"/>
    <w:qFormat/>
    <w:rsid w:val="00AB01C8"/>
    <w:pPr>
      <w:spacing w:after="280"/>
      <w:ind w:firstLine="2160"/>
    </w:pPr>
  </w:style>
  <w:style w:type="paragraph" w:customStyle="1" w:styleId="RulesBlock1">
    <w:name w:val="Rules Block 1"/>
    <w:basedOn w:val="Normal"/>
    <w:qFormat/>
    <w:rsid w:val="00AB01C8"/>
    <w:pPr>
      <w:spacing w:after="280"/>
      <w:ind w:left="720"/>
    </w:pPr>
  </w:style>
  <w:style w:type="paragraph" w:customStyle="1" w:styleId="RulesBlock1wtab">
    <w:name w:val="Rules Block 1 w tab"/>
    <w:basedOn w:val="Normal"/>
    <w:qFormat/>
    <w:rsid w:val="0027486D"/>
    <w:pPr>
      <w:spacing w:after="280"/>
      <w:ind w:left="720" w:firstLine="720"/>
    </w:pPr>
  </w:style>
  <w:style w:type="paragraph" w:customStyle="1" w:styleId="RulesBlock2">
    <w:name w:val="Rules Block 2"/>
    <w:basedOn w:val="Normal"/>
    <w:qFormat/>
    <w:rsid w:val="0027486D"/>
    <w:pPr>
      <w:spacing w:after="280"/>
      <w:ind w:left="1440"/>
    </w:pPr>
  </w:style>
  <w:style w:type="paragraph" w:customStyle="1" w:styleId="RulesBlock2wtab">
    <w:name w:val="Rules Block 2 w tab"/>
    <w:basedOn w:val="Normal"/>
    <w:qFormat/>
    <w:rsid w:val="0027486D"/>
    <w:pPr>
      <w:spacing w:after="280"/>
      <w:ind w:left="1440" w:firstLine="720"/>
    </w:pPr>
  </w:style>
  <w:style w:type="paragraph" w:customStyle="1" w:styleId="RulesText4">
    <w:name w:val="Rules Text 4"/>
    <w:basedOn w:val="Normal"/>
    <w:qFormat/>
    <w:rsid w:val="004E4E55"/>
    <w:pPr>
      <w:spacing w:after="280"/>
      <w:ind w:firstLine="2880"/>
    </w:pPr>
  </w:style>
  <w:style w:type="paragraph" w:customStyle="1" w:styleId="RulesText5">
    <w:name w:val="Rules Text 5"/>
    <w:basedOn w:val="Normal"/>
    <w:qFormat/>
    <w:rsid w:val="004E4E55"/>
    <w:pPr>
      <w:spacing w:after="280"/>
      <w:ind w:firstLine="3600"/>
    </w:pPr>
  </w:style>
  <w:style w:type="table" w:customStyle="1" w:styleId="SJITable">
    <w:name w:val="SJI Table"/>
    <w:basedOn w:val="TableNormal"/>
    <w:uiPriority w:val="99"/>
    <w:rsid w:val="0027486D"/>
    <w:pPr>
      <w:spacing w:after="280" w:line="240" w:lineRule="auto"/>
      <w:contextualSpacing/>
    </w:pPr>
    <w:rPr>
      <w:rFonts w:ascii="Times New Roman" w:hAnsi="Times New Roman"/>
      <w:sz w:val="28"/>
    </w:rPr>
    <w:tblPr/>
  </w:style>
  <w:style w:type="paragraph" w:customStyle="1" w:styleId="RulesCenterText">
    <w:name w:val="Rules Center Text"/>
    <w:basedOn w:val="Normal"/>
    <w:qFormat/>
    <w:rsid w:val="00B54AB4"/>
    <w:pPr>
      <w:jc w:val="center"/>
    </w:pPr>
  </w:style>
  <w:style w:type="character" w:styleId="BookTitle">
    <w:name w:val="Book Title"/>
    <w:basedOn w:val="DefaultParagraphFont"/>
    <w:uiPriority w:val="33"/>
    <w:semiHidden/>
    <w:qFormat/>
    <w:rsid w:val="00B54AB4"/>
    <w:rPr>
      <w:b/>
      <w:bCs/>
      <w:smallCaps/>
      <w:spacing w:val="5"/>
    </w:rPr>
  </w:style>
  <w:style w:type="paragraph" w:customStyle="1" w:styleId="RulesTitle">
    <w:name w:val="Rules Title"/>
    <w:basedOn w:val="Heading1"/>
    <w:rsid w:val="00D90E18"/>
    <w:pPr>
      <w:spacing w:before="0" w:after="280"/>
      <w:ind w:left="2160" w:hanging="2160"/>
    </w:pPr>
    <w:rPr>
      <w:rFonts w:ascii="Times New Roman Bold" w:hAnsi="Times New Roman Bold"/>
      <w:caps/>
      <w:color w:val="auto"/>
    </w:rPr>
  </w:style>
  <w:style w:type="paragraph" w:customStyle="1" w:styleId="RulesTitle12pt">
    <w:name w:val="Rules Title (12 pt)"/>
    <w:basedOn w:val="Heading1"/>
    <w:qFormat/>
    <w:rsid w:val="00D90E18"/>
    <w:pPr>
      <w:spacing w:before="0" w:after="240"/>
      <w:ind w:left="2160" w:hanging="2160"/>
    </w:pPr>
    <w:rPr>
      <w:rFonts w:ascii="Times New Roman Bold" w:hAnsi="Times New Roman Bold"/>
      <w:caps/>
      <w:color w:val="auto"/>
      <w:sz w:val="24"/>
    </w:rPr>
  </w:style>
  <w:style w:type="character" w:customStyle="1" w:styleId="Heading1Char">
    <w:name w:val="Heading 1 Char"/>
    <w:basedOn w:val="DefaultParagraphFont"/>
    <w:link w:val="Heading1"/>
    <w:uiPriority w:val="9"/>
    <w:semiHidden/>
    <w:rsid w:val="00252AB0"/>
    <w:rPr>
      <w:rFonts w:asciiTheme="majorHAnsi" w:eastAsiaTheme="majorEastAsia" w:hAnsiTheme="majorHAnsi" w:cstheme="majorBidi"/>
      <w:b/>
      <w:bCs/>
      <w:color w:val="365F91" w:themeColor="accent1" w:themeShade="BF"/>
      <w:sz w:val="28"/>
      <w:szCs w:val="28"/>
    </w:rPr>
  </w:style>
  <w:style w:type="paragraph" w:customStyle="1" w:styleId="RulesText112pt">
    <w:name w:val="Rules Text 1 (12 pt)"/>
    <w:basedOn w:val="Normal"/>
    <w:qFormat/>
    <w:rsid w:val="004E4E55"/>
    <w:pPr>
      <w:spacing w:after="240"/>
      <w:ind w:firstLine="720"/>
    </w:pPr>
    <w:rPr>
      <w:sz w:val="24"/>
    </w:rPr>
  </w:style>
  <w:style w:type="paragraph" w:customStyle="1" w:styleId="RulesReportcaptioncertification">
    <w:name w:val="Rules Report caption/certification"/>
    <w:basedOn w:val="Heading1"/>
    <w:qFormat/>
    <w:rsid w:val="006E1A49"/>
    <w:pPr>
      <w:spacing w:before="0" w:after="280"/>
      <w:jc w:val="center"/>
    </w:pPr>
    <w:rPr>
      <w:rFonts w:ascii="Times New Roman Bold" w:hAnsi="Times New Roman Bold"/>
      <w:b w:val="0"/>
      <w:caps/>
      <w:color w:val="auto"/>
    </w:rPr>
  </w:style>
  <w:style w:type="paragraph" w:customStyle="1" w:styleId="RulesReportCaseStyle">
    <w:name w:val="Rules Report Case Style"/>
    <w:basedOn w:val="Normal"/>
    <w:qFormat/>
    <w:rsid w:val="00B54AB4"/>
    <w:pPr>
      <w:tabs>
        <w:tab w:val="right" w:pos="9360"/>
      </w:tabs>
      <w:spacing w:after="280"/>
      <w:contextualSpacing/>
    </w:pPr>
  </w:style>
  <w:style w:type="paragraph" w:customStyle="1" w:styleId="RulesReportClosingRespectfullysubmitted">
    <w:name w:val="Rules Report Closing (&quot;Respectfully submitted&quot;)"/>
    <w:basedOn w:val="Normal"/>
    <w:qFormat/>
    <w:rsid w:val="006E1A49"/>
    <w:pPr>
      <w:spacing w:after="560"/>
      <w:ind w:firstLine="720"/>
    </w:pPr>
  </w:style>
  <w:style w:type="paragraph" w:customStyle="1" w:styleId="RulesReportSignature">
    <w:name w:val="Rules Report Signature"/>
    <w:basedOn w:val="Normal"/>
    <w:qFormat/>
    <w:rsid w:val="006E1A49"/>
    <w:pPr>
      <w:spacing w:after="280"/>
      <w:ind w:left="5040"/>
      <w:contextualSpacing/>
    </w:pPr>
  </w:style>
  <w:style w:type="paragraph" w:customStyle="1" w:styleId="RulesText1bnoindent">
    <w:name w:val="Rules Text 1b (no indent)"/>
    <w:basedOn w:val="Normal"/>
    <w:qFormat/>
    <w:rsid w:val="005C566E"/>
    <w:pPr>
      <w:spacing w:after="280"/>
    </w:pPr>
  </w:style>
  <w:style w:type="character" w:customStyle="1" w:styleId="RulesNormalText">
    <w:name w:val="Rules Normal Text"/>
    <w:uiPriority w:val="1"/>
    <w:qFormat/>
    <w:rsid w:val="00630435"/>
    <w:rPr>
      <w:rFonts w:ascii="Times New Roman" w:hAnsi="Times New Roman"/>
    </w:rPr>
  </w:style>
  <w:style w:type="character" w:customStyle="1" w:styleId="RulesBold">
    <w:name w:val="Rules Bold"/>
    <w:uiPriority w:val="1"/>
    <w:qFormat/>
    <w:rsid w:val="00D17517"/>
    <w:rPr>
      <w:rFonts w:ascii="Times New Roman Bold" w:hAnsi="Times New Roman Bold"/>
      <w:b/>
    </w:rPr>
  </w:style>
  <w:style w:type="character" w:customStyle="1" w:styleId="RulesBoldUnderline">
    <w:name w:val="Rules Bold Underline"/>
    <w:uiPriority w:val="1"/>
    <w:qFormat/>
    <w:rsid w:val="00D17517"/>
    <w:rPr>
      <w:rFonts w:ascii="Times New Roman Bold" w:hAnsi="Times New Roman Bold"/>
      <w:b/>
      <w:u w:val="single"/>
    </w:rPr>
  </w:style>
  <w:style w:type="character" w:customStyle="1" w:styleId="RulesBoldItalic">
    <w:name w:val="Rules Bold Italic"/>
    <w:uiPriority w:val="1"/>
    <w:qFormat/>
    <w:rsid w:val="00D17517"/>
    <w:rPr>
      <w:rFonts w:ascii="Times New Roman Bold" w:hAnsi="Times New Roman Bold"/>
      <w:b/>
      <w:i/>
    </w:rPr>
  </w:style>
  <w:style w:type="character" w:customStyle="1" w:styleId="RulesBoldItalicUnderline">
    <w:name w:val="Rules Bold Italic Underline"/>
    <w:uiPriority w:val="1"/>
    <w:qFormat/>
    <w:rsid w:val="00D17517"/>
    <w:rPr>
      <w:rFonts w:ascii="Times New Roman Bold" w:hAnsi="Times New Roman Bold"/>
      <w:b/>
      <w:i/>
      <w:u w:val="single"/>
    </w:rPr>
  </w:style>
  <w:style w:type="character" w:customStyle="1" w:styleId="RulesBoldStrikethrough">
    <w:name w:val="Rules Bold Strikethrough"/>
    <w:uiPriority w:val="1"/>
    <w:qFormat/>
    <w:rsid w:val="00D17517"/>
    <w:rPr>
      <w:rFonts w:ascii="Times New Roman Bold" w:hAnsi="Times New Roman Bold"/>
      <w:b/>
      <w:strike/>
      <w:dstrike w:val="0"/>
    </w:rPr>
  </w:style>
  <w:style w:type="character" w:customStyle="1" w:styleId="RulesBoldItalicStrikethrough">
    <w:name w:val="Rules Bold Italic Strikethrough"/>
    <w:uiPriority w:val="1"/>
    <w:qFormat/>
    <w:rsid w:val="00D17517"/>
    <w:rPr>
      <w:rFonts w:ascii="Times New Roman Bold" w:hAnsi="Times New Roman Bold"/>
      <w:b/>
      <w:i/>
      <w:strike/>
      <w:dstrike w:val="0"/>
    </w:rPr>
  </w:style>
  <w:style w:type="character" w:customStyle="1" w:styleId="RulesBoldItalicStrikethroughUnderline">
    <w:name w:val="Rules Bold Italic Strikethrough Underline"/>
    <w:uiPriority w:val="1"/>
    <w:qFormat/>
    <w:rsid w:val="00D17517"/>
    <w:rPr>
      <w:rFonts w:ascii="Times New Roman Bold" w:hAnsi="Times New Roman Bold"/>
      <w:b/>
      <w:i/>
      <w:strike/>
      <w:dstrike w:val="0"/>
      <w:u w:val="single"/>
    </w:rPr>
  </w:style>
  <w:style w:type="character" w:customStyle="1" w:styleId="RulesBoldDoubleUnderline">
    <w:name w:val="Rules Bold Double Underline"/>
    <w:uiPriority w:val="1"/>
    <w:qFormat/>
    <w:rsid w:val="00D17517"/>
    <w:rPr>
      <w:rFonts w:ascii="Times New Roman Bold" w:hAnsi="Times New Roman Bold"/>
      <w:b/>
      <w:u w:val="double"/>
    </w:rPr>
  </w:style>
  <w:style w:type="character" w:customStyle="1" w:styleId="RulesBoldDoubleStrikethrough">
    <w:name w:val="Rules Bold Double Strikethrough"/>
    <w:uiPriority w:val="1"/>
    <w:qFormat/>
    <w:rsid w:val="00D17517"/>
    <w:rPr>
      <w:rFonts w:ascii="Times New Roman Bold" w:hAnsi="Times New Roman Bold"/>
      <w:b/>
      <w:strike w:val="0"/>
      <w:dstrike/>
    </w:rPr>
  </w:style>
  <w:style w:type="character" w:customStyle="1" w:styleId="RulesBoldItalicDoubleStrikethrough">
    <w:name w:val="Rules Bold Italic Double Strikethrough"/>
    <w:uiPriority w:val="1"/>
    <w:qFormat/>
    <w:rsid w:val="00D17517"/>
    <w:rPr>
      <w:rFonts w:ascii="Times New Roman Bold" w:hAnsi="Times New Roman Bold"/>
      <w:b/>
      <w:i/>
      <w:strike w:val="0"/>
      <w:dstrike/>
    </w:rPr>
  </w:style>
  <w:style w:type="character" w:customStyle="1" w:styleId="RulesBoldItalicDoubleUnderline">
    <w:name w:val="Rules Bold Italic Double Underline"/>
    <w:uiPriority w:val="1"/>
    <w:qFormat/>
    <w:rsid w:val="00D17517"/>
    <w:rPr>
      <w:rFonts w:ascii="Times New Roman Bold" w:hAnsi="Times New Roman Bold"/>
      <w:b w:val="0"/>
      <w:i w:val="0"/>
      <w:strike w:val="0"/>
      <w:dstrike w:val="0"/>
      <w:u w:val="double"/>
    </w:rPr>
  </w:style>
  <w:style w:type="character" w:customStyle="1" w:styleId="RulesUnderline">
    <w:name w:val="Rules Underline"/>
    <w:uiPriority w:val="1"/>
    <w:qFormat/>
    <w:rsid w:val="00D17517"/>
    <w:rPr>
      <w:rFonts w:ascii="Times New Roman" w:hAnsi="Times New Roman"/>
      <w:u w:val="single"/>
    </w:rPr>
  </w:style>
  <w:style w:type="character" w:customStyle="1" w:styleId="RulesItalic">
    <w:name w:val="Rules Italic"/>
    <w:uiPriority w:val="1"/>
    <w:qFormat/>
    <w:rsid w:val="00630435"/>
    <w:rPr>
      <w:rFonts w:ascii="Times New Roman" w:hAnsi="Times New Roman"/>
      <w:i/>
    </w:rPr>
  </w:style>
  <w:style w:type="character" w:customStyle="1" w:styleId="RulesStrikethrough">
    <w:name w:val="Rules Strikethrough"/>
    <w:uiPriority w:val="1"/>
    <w:qFormat/>
    <w:rsid w:val="00D17517"/>
    <w:rPr>
      <w:rFonts w:ascii="Times New Roman" w:hAnsi="Times New Roman"/>
      <w:strike/>
      <w:dstrike w:val="0"/>
    </w:rPr>
  </w:style>
  <w:style w:type="character" w:customStyle="1" w:styleId="RulesItalicStrikethrough">
    <w:name w:val="Rules Italic Strikethrough"/>
    <w:uiPriority w:val="1"/>
    <w:qFormat/>
    <w:rsid w:val="00630435"/>
    <w:rPr>
      <w:rFonts w:ascii="Times New Roman" w:hAnsi="Times New Roman"/>
      <w:i/>
      <w:strike/>
      <w:dstrike w:val="0"/>
    </w:rPr>
  </w:style>
  <w:style w:type="character" w:customStyle="1" w:styleId="RulesItalicUnderline">
    <w:name w:val="Rules Italic Underline"/>
    <w:uiPriority w:val="1"/>
    <w:qFormat/>
    <w:rsid w:val="00630435"/>
    <w:rPr>
      <w:rFonts w:ascii="Times New Roman" w:hAnsi="Times New Roman"/>
      <w:i/>
      <w:u w:val="single"/>
    </w:rPr>
  </w:style>
  <w:style w:type="character" w:customStyle="1" w:styleId="RulesItalicDoubleStrikethrough">
    <w:name w:val="Rules Italic Double Strikethrough"/>
    <w:uiPriority w:val="1"/>
    <w:qFormat/>
    <w:rsid w:val="00630435"/>
    <w:rPr>
      <w:rFonts w:ascii="Times New Roman" w:hAnsi="Times New Roman"/>
      <w:i/>
      <w:strike w:val="0"/>
      <w:dstrike/>
    </w:rPr>
  </w:style>
  <w:style w:type="character" w:customStyle="1" w:styleId="RulesItalicDoubleUnderline">
    <w:name w:val="Rules Italic Double Underline"/>
    <w:uiPriority w:val="1"/>
    <w:qFormat/>
    <w:rsid w:val="00630435"/>
    <w:rPr>
      <w:rFonts w:ascii="Times New Roman" w:hAnsi="Times New Roman"/>
      <w:i/>
      <w:u w:val="double"/>
    </w:rPr>
  </w:style>
  <w:style w:type="character" w:customStyle="1" w:styleId="RulesDoubleStrikethrough">
    <w:name w:val="Rules Double Strikethrough"/>
    <w:uiPriority w:val="1"/>
    <w:qFormat/>
    <w:rsid w:val="00D17517"/>
    <w:rPr>
      <w:rFonts w:ascii="Times New Roman" w:hAnsi="Times New Roman"/>
      <w:strike w:val="0"/>
      <w:dstrike/>
    </w:rPr>
  </w:style>
  <w:style w:type="character" w:customStyle="1" w:styleId="RulesDoubleUnderline">
    <w:name w:val="Rules Double Underline"/>
    <w:uiPriority w:val="1"/>
    <w:qFormat/>
    <w:rsid w:val="00D17517"/>
    <w:rPr>
      <w:rFonts w:ascii="Times New Roman" w:hAnsi="Times New Roman"/>
      <w:u w:val="double"/>
    </w:rPr>
  </w:style>
  <w:style w:type="character" w:customStyle="1" w:styleId="RulesStrikethroughUnderline">
    <w:name w:val="Rules Strikethrough Underline"/>
    <w:uiPriority w:val="1"/>
    <w:qFormat/>
    <w:rsid w:val="00D17517"/>
    <w:rPr>
      <w:rFonts w:ascii="Times New Roman" w:hAnsi="Times New Roman"/>
      <w:strike/>
      <w:dstrike w:val="0"/>
      <w:u w:val="single"/>
    </w:rPr>
  </w:style>
  <w:style w:type="character" w:customStyle="1" w:styleId="RulesDoubleStrikethroughDoubleUnderline">
    <w:name w:val="Rules Double Strikethrough Double Underline"/>
    <w:uiPriority w:val="1"/>
    <w:qFormat/>
    <w:rsid w:val="00D17517"/>
    <w:rPr>
      <w:rFonts w:ascii="Times New Roman" w:hAnsi="Times New Roman"/>
      <w:strike w:val="0"/>
      <w:dstrike/>
      <w:u w:val="double"/>
    </w:rPr>
  </w:style>
  <w:style w:type="character" w:customStyle="1" w:styleId="RulesItalicDoubleStrikethroughDoubleUnderline">
    <w:name w:val="Rules Italic Double Strikethrough Double Underline"/>
    <w:uiPriority w:val="1"/>
    <w:qFormat/>
    <w:rsid w:val="00630435"/>
    <w:rPr>
      <w:rFonts w:ascii="Times New Roman" w:hAnsi="Times New Roman"/>
      <w:i/>
      <w:strike w:val="0"/>
      <w:dstrike/>
      <w:u w:val="double"/>
    </w:rPr>
  </w:style>
  <w:style w:type="character" w:customStyle="1" w:styleId="RulesItalicStrikethroughUnderline">
    <w:name w:val="Rules Italic Strikethrough Underline"/>
    <w:uiPriority w:val="1"/>
    <w:qFormat/>
    <w:rsid w:val="00630435"/>
    <w:rPr>
      <w:i/>
      <w:strike/>
      <w:dstrike w:val="0"/>
      <w:u w:val="single"/>
    </w:rPr>
  </w:style>
  <w:style w:type="character" w:customStyle="1" w:styleId="RulesBoldStrikethroughUnderline">
    <w:name w:val="Rules Bold Strikethrough Underline"/>
    <w:uiPriority w:val="1"/>
    <w:qFormat/>
    <w:rsid w:val="00D17517"/>
    <w:rPr>
      <w:rFonts w:ascii="Times New Roman Bold" w:hAnsi="Times New Roman Bold"/>
      <w:b/>
      <w:i/>
      <w:strike w:val="0"/>
      <w:dstrike w:val="0"/>
      <w:u w:val="single"/>
    </w:rPr>
  </w:style>
  <w:style w:type="character" w:customStyle="1" w:styleId="RulesBoldDoubleStrikethroughDoubleUnderline">
    <w:name w:val="Rules Bold Double Strikethrough Double Underline"/>
    <w:uiPriority w:val="1"/>
    <w:qFormat/>
    <w:rsid w:val="00D17517"/>
    <w:rPr>
      <w:rFonts w:ascii="Times New Roman Bold" w:hAnsi="Times New Roman Bold"/>
      <w:b/>
      <w:strike w:val="0"/>
      <w:dstrike/>
      <w:u w:val="double"/>
    </w:rPr>
  </w:style>
  <w:style w:type="character" w:customStyle="1" w:styleId="RulesBoldItalicDoubleStrikethroughDoubleUnderline">
    <w:name w:val="Rules Bold Italic Double Strikethrough Double Underline"/>
    <w:uiPriority w:val="1"/>
    <w:qFormat/>
    <w:rsid w:val="00D17517"/>
    <w:rPr>
      <w:rFonts w:ascii="Times New Roman Bold" w:hAnsi="Times New Roman Bold"/>
      <w:b/>
      <w:i/>
      <w:strike w:val="0"/>
      <w:dstrike/>
      <w:u w:val="double"/>
    </w:rPr>
  </w:style>
  <w:style w:type="paragraph" w:customStyle="1" w:styleId="RulesText1b12pt">
    <w:name w:val="Rules Text 1b (12 pt)"/>
    <w:basedOn w:val="Normal"/>
    <w:qFormat/>
    <w:rsid w:val="004E4E55"/>
    <w:pPr>
      <w:spacing w:after="240"/>
    </w:pPr>
    <w:rPr>
      <w:sz w:val="24"/>
    </w:rPr>
  </w:style>
  <w:style w:type="character" w:customStyle="1" w:styleId="Heading2Char">
    <w:name w:val="Heading 2 Char"/>
    <w:basedOn w:val="DefaultParagraphFont"/>
    <w:link w:val="Heading2"/>
    <w:uiPriority w:val="9"/>
    <w:semiHidden/>
    <w:rsid w:val="00252AB0"/>
    <w:rPr>
      <w:rFonts w:asciiTheme="majorHAnsi" w:eastAsiaTheme="majorEastAsia" w:hAnsiTheme="majorHAnsi" w:cstheme="majorBidi"/>
      <w:b/>
      <w:bCs/>
      <w:color w:val="4F81BD" w:themeColor="accent1"/>
      <w:sz w:val="26"/>
      <w:szCs w:val="26"/>
    </w:rPr>
  </w:style>
  <w:style w:type="paragraph" w:customStyle="1" w:styleId="RulesText212pt">
    <w:name w:val="Rules Text 2 (12 pt)"/>
    <w:basedOn w:val="Normal"/>
    <w:qFormat/>
    <w:rsid w:val="00852874"/>
    <w:pPr>
      <w:spacing w:after="240"/>
      <w:ind w:firstLine="1440"/>
    </w:pPr>
    <w:rPr>
      <w:sz w:val="24"/>
    </w:rPr>
  </w:style>
  <w:style w:type="paragraph" w:customStyle="1" w:styleId="RulesText312pt">
    <w:name w:val="Rules Text 3 (12 pt)"/>
    <w:basedOn w:val="Normal"/>
    <w:qFormat/>
    <w:rsid w:val="00852874"/>
    <w:pPr>
      <w:spacing w:after="240"/>
      <w:ind w:firstLine="2160"/>
    </w:pPr>
    <w:rPr>
      <w:sz w:val="24"/>
    </w:rPr>
  </w:style>
  <w:style w:type="paragraph" w:customStyle="1" w:styleId="RulesText412pt">
    <w:name w:val="Rules Text 4 (12 pt)"/>
    <w:basedOn w:val="Normal"/>
    <w:qFormat/>
    <w:rsid w:val="00852874"/>
    <w:pPr>
      <w:spacing w:after="240"/>
      <w:ind w:firstLine="2880"/>
    </w:pPr>
    <w:rPr>
      <w:sz w:val="24"/>
    </w:rPr>
  </w:style>
  <w:style w:type="paragraph" w:customStyle="1" w:styleId="RulesText512pt">
    <w:name w:val="Rules Text 5 (12 pt)"/>
    <w:basedOn w:val="Normal"/>
    <w:qFormat/>
    <w:rsid w:val="00852874"/>
    <w:pPr>
      <w:spacing w:after="240"/>
      <w:ind w:firstLine="3600"/>
    </w:pPr>
    <w:rPr>
      <w:sz w:val="24"/>
    </w:rPr>
  </w:style>
  <w:style w:type="character" w:customStyle="1" w:styleId="test">
    <w:name w:val="test"/>
    <w:basedOn w:val="RulesBoldDoubleStrikethrough"/>
    <w:uiPriority w:val="1"/>
    <w:semiHidden/>
    <w:qFormat/>
    <w:rsid w:val="00B54AB4"/>
    <w:rPr>
      <w:rFonts w:ascii="Times New Roman Bold" w:hAnsi="Times New Roman Bold"/>
      <w:b/>
      <w:strike w:val="0"/>
      <w:dstrike/>
      <w:sz w:val="28"/>
    </w:rPr>
  </w:style>
  <w:style w:type="character" w:customStyle="1" w:styleId="RulesDoubleStrikethroughUnderline">
    <w:name w:val="Rules Double Strikethrough Underline"/>
    <w:uiPriority w:val="1"/>
    <w:qFormat/>
    <w:rsid w:val="00D17517"/>
    <w:rPr>
      <w:rFonts w:ascii="Times New Roman" w:hAnsi="Times New Roman"/>
      <w:strike w:val="0"/>
      <w:dstrike/>
      <w:u w:val="single"/>
    </w:rPr>
  </w:style>
  <w:style w:type="paragraph" w:customStyle="1" w:styleId="RuleForms1TabOver">
    <w:name w:val="RuleForms 1&quot; Tab Over"/>
    <w:basedOn w:val="Normal"/>
    <w:qFormat/>
    <w:rsid w:val="00C01AA3"/>
    <w:pPr>
      <w:spacing w:after="160"/>
      <w:ind w:left="1440"/>
    </w:pPr>
    <w:rPr>
      <w:rFonts w:cs="Times New Roman"/>
      <w:sz w:val="24"/>
      <w:szCs w:val="28"/>
    </w:rPr>
  </w:style>
  <w:style w:type="paragraph" w:customStyle="1" w:styleId="RuleForms1stLine5Indent">
    <w:name w:val="RuleForms 1st Line .5&quot; Indent"/>
    <w:basedOn w:val="Normal"/>
    <w:qFormat/>
    <w:rsid w:val="00C01AA3"/>
    <w:pPr>
      <w:spacing w:after="0" w:line="360" w:lineRule="auto"/>
      <w:ind w:firstLine="720"/>
    </w:pPr>
    <w:rPr>
      <w:rFonts w:eastAsia="Calibri" w:cs="Times New Roman"/>
      <w:sz w:val="24"/>
    </w:rPr>
  </w:style>
  <w:style w:type="paragraph" w:customStyle="1" w:styleId="RuleForms2TabOver">
    <w:name w:val="RuleForms 2&quot; Tab Over"/>
    <w:basedOn w:val="Normal"/>
    <w:qFormat/>
    <w:rsid w:val="00C01AA3"/>
    <w:pPr>
      <w:spacing w:after="160" w:line="259" w:lineRule="auto"/>
      <w:ind w:left="2880"/>
    </w:pPr>
    <w:rPr>
      <w:rFonts w:cs="Times New Roman"/>
      <w:sz w:val="24"/>
      <w:szCs w:val="28"/>
    </w:rPr>
  </w:style>
  <w:style w:type="paragraph" w:customStyle="1" w:styleId="RuleForms3TabOver">
    <w:name w:val="RuleForms 3&quot; Tab Over"/>
    <w:basedOn w:val="Normal"/>
    <w:qFormat/>
    <w:rsid w:val="00C01AA3"/>
    <w:pPr>
      <w:spacing w:after="160" w:line="259" w:lineRule="auto"/>
      <w:ind w:left="4320"/>
    </w:pPr>
    <w:rPr>
      <w:rFonts w:cs="Times New Roman"/>
      <w:sz w:val="24"/>
      <w:szCs w:val="28"/>
    </w:rPr>
  </w:style>
  <w:style w:type="paragraph" w:customStyle="1" w:styleId="RuleForms35TabOver">
    <w:name w:val="RuleForms 3.5&quot; Tab Over"/>
    <w:basedOn w:val="Normal"/>
    <w:qFormat/>
    <w:rsid w:val="00C01AA3"/>
    <w:pPr>
      <w:spacing w:after="160" w:line="259" w:lineRule="auto"/>
      <w:ind w:left="5040"/>
    </w:pPr>
    <w:rPr>
      <w:rFonts w:cs="Times New Roman"/>
      <w:sz w:val="24"/>
      <w:szCs w:val="28"/>
    </w:rPr>
  </w:style>
  <w:style w:type="paragraph" w:customStyle="1" w:styleId="RuleForms4TabOver">
    <w:name w:val="RuleForms 4&quot; Tab Over"/>
    <w:basedOn w:val="Normal"/>
    <w:qFormat/>
    <w:rsid w:val="00C01AA3"/>
    <w:pPr>
      <w:spacing w:after="160" w:line="259" w:lineRule="auto"/>
      <w:ind w:left="5760"/>
    </w:pPr>
    <w:rPr>
      <w:rFonts w:cs="Times New Roman"/>
      <w:sz w:val="24"/>
      <w:szCs w:val="28"/>
    </w:rPr>
  </w:style>
  <w:style w:type="paragraph" w:customStyle="1" w:styleId="RuleForms45TabOver">
    <w:name w:val="RuleForms 4.5&quot; Tab Over"/>
    <w:basedOn w:val="Normal"/>
    <w:qFormat/>
    <w:rsid w:val="00C01AA3"/>
    <w:pPr>
      <w:spacing w:after="160" w:line="259" w:lineRule="auto"/>
      <w:ind w:left="6480"/>
    </w:pPr>
    <w:rPr>
      <w:rFonts w:cs="Times New Roman"/>
      <w:sz w:val="24"/>
      <w:szCs w:val="28"/>
    </w:rPr>
  </w:style>
  <w:style w:type="character" w:customStyle="1" w:styleId="RuleFormsAllCapsBold">
    <w:name w:val="RuleForms All Caps Bold"/>
    <w:uiPriority w:val="1"/>
    <w:qFormat/>
    <w:rsid w:val="00C01AA3"/>
    <w:rPr>
      <w:b/>
      <w:caps/>
      <w:smallCaps w:val="0"/>
      <w:color w:val="auto"/>
    </w:rPr>
  </w:style>
  <w:style w:type="character" w:customStyle="1" w:styleId="RuleFormsAllUpper">
    <w:name w:val="RuleForms All Upper"/>
    <w:uiPriority w:val="1"/>
    <w:qFormat/>
    <w:rsid w:val="00C01AA3"/>
    <w:rPr>
      <w:caps/>
      <w:smallCaps w:val="0"/>
    </w:rPr>
  </w:style>
  <w:style w:type="character" w:customStyle="1" w:styleId="RuleFormsBold">
    <w:name w:val="RuleForms Bold"/>
    <w:uiPriority w:val="1"/>
    <w:qFormat/>
    <w:rsid w:val="00C01AA3"/>
    <w:rPr>
      <w:rFonts w:ascii="Times New Roman Bold" w:hAnsi="Times New Roman Bold"/>
      <w:b/>
      <w:sz w:val="24"/>
    </w:rPr>
  </w:style>
  <w:style w:type="character" w:customStyle="1" w:styleId="RuleFormsBoldItalic">
    <w:name w:val="RuleForms Bold Italic"/>
    <w:uiPriority w:val="1"/>
    <w:qFormat/>
    <w:rsid w:val="00C01AA3"/>
    <w:rPr>
      <w:b/>
      <w:i/>
    </w:rPr>
  </w:style>
  <w:style w:type="character" w:customStyle="1" w:styleId="RuleFormsboldstrikethrough">
    <w:name w:val="RuleForms bold strike through"/>
    <w:uiPriority w:val="1"/>
    <w:qFormat/>
    <w:rsid w:val="00C01AA3"/>
    <w:rPr>
      <w:b/>
      <w:strike/>
      <w:dstrike w:val="0"/>
    </w:rPr>
  </w:style>
  <w:style w:type="character" w:customStyle="1" w:styleId="RuleFormsBoldUpperUnderline">
    <w:name w:val="RuleForms Bold Upper Underline"/>
    <w:uiPriority w:val="1"/>
    <w:qFormat/>
    <w:rsid w:val="00C01AA3"/>
    <w:rPr>
      <w:rFonts w:ascii="Times New Roman Bold" w:hAnsi="Times New Roman Bold"/>
      <w:b/>
      <w:caps/>
      <w:sz w:val="24"/>
      <w:szCs w:val="22"/>
      <w:u w:val="single"/>
    </w:rPr>
  </w:style>
  <w:style w:type="paragraph" w:customStyle="1" w:styleId="RuleFormsCenter">
    <w:name w:val="RuleForms Center"/>
    <w:basedOn w:val="Normal"/>
    <w:qFormat/>
    <w:rsid w:val="00C01AA3"/>
    <w:pPr>
      <w:spacing w:after="0" w:line="360" w:lineRule="auto"/>
      <w:jc w:val="center"/>
    </w:pPr>
    <w:rPr>
      <w:rFonts w:eastAsia="Calibri" w:cs="Times New Roman"/>
      <w:sz w:val="24"/>
    </w:rPr>
  </w:style>
  <w:style w:type="paragraph" w:customStyle="1" w:styleId="RuleFormsCenter12ptLineSpace">
    <w:name w:val="RuleForms Center 12pt Line Space"/>
    <w:basedOn w:val="Normal"/>
    <w:qFormat/>
    <w:rsid w:val="00C01AA3"/>
    <w:pPr>
      <w:spacing w:before="240" w:after="240" w:line="259" w:lineRule="auto"/>
      <w:jc w:val="center"/>
    </w:pPr>
    <w:rPr>
      <w:rFonts w:cs="Times New Roman"/>
      <w:sz w:val="24"/>
      <w:szCs w:val="28"/>
    </w:rPr>
  </w:style>
  <w:style w:type="character" w:customStyle="1" w:styleId="RuleFormsdoubleunderline">
    <w:name w:val="RuleForms double underline"/>
    <w:uiPriority w:val="1"/>
    <w:qFormat/>
    <w:rsid w:val="00C01AA3"/>
    <w:rPr>
      <w:rFonts w:ascii="Times New Roman" w:hAnsi="Times New Roman"/>
      <w:strike w:val="0"/>
      <w:dstrike w:val="0"/>
      <w:sz w:val="24"/>
      <w:u w:val="double"/>
    </w:rPr>
  </w:style>
  <w:style w:type="character" w:customStyle="1" w:styleId="RuleFormsFont">
    <w:name w:val="RuleForms Font"/>
    <w:uiPriority w:val="1"/>
    <w:qFormat/>
    <w:rsid w:val="00C01AA3"/>
    <w:rPr>
      <w:rFonts w:ascii="Times New Roman" w:hAnsi="Times New Roman"/>
      <w:strike w:val="0"/>
      <w:dstrike w:val="0"/>
      <w:sz w:val="24"/>
    </w:rPr>
  </w:style>
  <w:style w:type="paragraph" w:customStyle="1" w:styleId="RuleFormsNoLineSpace">
    <w:name w:val="RuleForms No Line Space"/>
    <w:basedOn w:val="Normal"/>
    <w:qFormat/>
    <w:rsid w:val="00C01AA3"/>
    <w:pPr>
      <w:spacing w:after="0"/>
    </w:pPr>
    <w:rPr>
      <w:rFonts w:eastAsia="Calibri" w:cs="Times New Roman"/>
      <w:sz w:val="24"/>
    </w:rPr>
  </w:style>
  <w:style w:type="paragraph" w:customStyle="1" w:styleId="RuleFormsNormalParagraph">
    <w:name w:val="RuleForms Normal Paragraph"/>
    <w:qFormat/>
    <w:rsid w:val="00C01AA3"/>
    <w:pPr>
      <w:spacing w:after="0" w:line="360" w:lineRule="auto"/>
    </w:pPr>
    <w:rPr>
      <w:rFonts w:ascii="Times New Roman" w:eastAsia="Calibri" w:hAnsi="Times New Roman" w:cs="Times New Roman"/>
      <w:sz w:val="24"/>
    </w:rPr>
  </w:style>
  <w:style w:type="paragraph" w:customStyle="1" w:styleId="RuleFormsSignatureLinewithText">
    <w:name w:val="RuleForms Signature Line with Text"/>
    <w:basedOn w:val="Normal"/>
    <w:qFormat/>
    <w:rsid w:val="00C01AA3"/>
    <w:pPr>
      <w:pBdr>
        <w:top w:val="single" w:sz="4" w:space="1" w:color="auto"/>
      </w:pBdr>
      <w:spacing w:after="160" w:line="259" w:lineRule="auto"/>
      <w:ind w:left="4320"/>
    </w:pPr>
    <w:rPr>
      <w:rFonts w:cs="Times New Roman"/>
      <w:sz w:val="24"/>
      <w:szCs w:val="28"/>
    </w:rPr>
  </w:style>
  <w:style w:type="character" w:customStyle="1" w:styleId="RuleFormsStrikethrough">
    <w:name w:val="RuleForms Strike through"/>
    <w:uiPriority w:val="1"/>
    <w:qFormat/>
    <w:rsid w:val="00C01AA3"/>
    <w:rPr>
      <w:rFonts w:ascii="Times New Roman" w:hAnsi="Times New Roman"/>
      <w:strike/>
      <w:dstrike w:val="0"/>
      <w:sz w:val="24"/>
    </w:rPr>
  </w:style>
  <w:style w:type="character" w:customStyle="1" w:styleId="RuleFormsunderline">
    <w:name w:val="RuleForms underline"/>
    <w:uiPriority w:val="1"/>
    <w:qFormat/>
    <w:rsid w:val="00C01AA3"/>
    <w:rPr>
      <w:rFonts w:ascii="Times New Roman" w:hAnsi="Times New Roman"/>
      <w:b w:val="0"/>
      <w:sz w:val="24"/>
      <w:u w:val="single"/>
    </w:rPr>
  </w:style>
  <w:style w:type="paragraph" w:customStyle="1" w:styleId="SJIText1">
    <w:name w:val="SJI Text 1"/>
    <w:basedOn w:val="Normal"/>
    <w:qFormat/>
    <w:rsid w:val="0085677E"/>
    <w:pPr>
      <w:widowControl w:val="0"/>
      <w:suppressAutoHyphens/>
      <w:spacing w:after="280"/>
      <w:ind w:firstLine="720"/>
    </w:pPr>
    <w:rPr>
      <w:szCs w:val="28"/>
    </w:rPr>
  </w:style>
  <w:style w:type="paragraph" w:customStyle="1" w:styleId="SJICenter1">
    <w:name w:val="SJI Center 1"/>
    <w:basedOn w:val="Normal"/>
    <w:qFormat/>
    <w:rsid w:val="0085677E"/>
    <w:pPr>
      <w:spacing w:before="280" w:after="280"/>
      <w:jc w:val="center"/>
    </w:pPr>
    <w:rPr>
      <w:szCs w:val="28"/>
    </w:rPr>
  </w:style>
  <w:style w:type="paragraph" w:customStyle="1" w:styleId="SJITitle1">
    <w:name w:val="SJI Title 1"/>
    <w:basedOn w:val="Heading1"/>
    <w:qFormat/>
    <w:rsid w:val="0085677E"/>
    <w:pPr>
      <w:spacing w:before="360" w:after="240"/>
      <w:jc w:val="center"/>
    </w:pPr>
    <w:rPr>
      <w:rFonts w:ascii="Times New Roman Bold" w:hAnsi="Times New Roman Bold"/>
      <w:caps/>
      <w:color w:val="auto"/>
    </w:rPr>
  </w:style>
  <w:style w:type="character" w:customStyle="1" w:styleId="SJINormalText">
    <w:name w:val="SJI Normal Text"/>
    <w:basedOn w:val="DefaultParagraphFont"/>
    <w:uiPriority w:val="1"/>
    <w:qFormat/>
    <w:rsid w:val="0085677E"/>
    <w:rPr>
      <w:rFonts w:ascii="Times New Roman" w:hAnsi="Times New Roman"/>
      <w:sz w:val="28"/>
    </w:rPr>
  </w:style>
  <w:style w:type="character" w:customStyle="1" w:styleId="SJIBold">
    <w:name w:val="SJI Bold"/>
    <w:basedOn w:val="SJINormalText"/>
    <w:uiPriority w:val="1"/>
    <w:qFormat/>
    <w:rsid w:val="0085677E"/>
    <w:rPr>
      <w:rFonts w:ascii="Times New Roman" w:hAnsi="Times New Roman"/>
      <w:b/>
      <w:sz w:val="28"/>
    </w:rPr>
  </w:style>
  <w:style w:type="character" w:customStyle="1" w:styleId="SJIItalic">
    <w:name w:val="SJI Italic"/>
    <w:basedOn w:val="SJINormalText"/>
    <w:uiPriority w:val="1"/>
    <w:qFormat/>
    <w:rsid w:val="0085677E"/>
    <w:rPr>
      <w:rFonts w:ascii="Times New Roman" w:hAnsi="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6888</Characters>
  <Application>Microsoft Office Word</Application>
  <DocSecurity>0</DocSecurity>
  <Lines>137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Telfer, Heather</dc:creator>
  <cp:keywords/>
  <dc:description/>
  <cp:lastModifiedBy>Godwin, Krys</cp:lastModifiedBy>
  <cp:revision>2</cp:revision>
  <dcterms:created xsi:type="dcterms:W3CDTF">2017-04-12T14:30:00Z</dcterms:created>
  <dcterms:modified xsi:type="dcterms:W3CDTF">2022-04-01T21:07:00Z</dcterms:modified>
</cp:coreProperties>
</file>