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709A" w14:textId="77777777" w:rsidR="00E4171F" w:rsidRPr="00CE5A19" w:rsidRDefault="00E4171F" w:rsidP="00E4171F">
      <w:pPr>
        <w:pStyle w:val="SJITitle1"/>
        <w:rPr>
          <w:rFonts w:ascii="Bookman Old Style" w:hAnsi="Bookman Old Style"/>
        </w:rPr>
      </w:pPr>
      <w:bookmarkStart w:id="0" w:name="_Toc479756223"/>
      <w:r w:rsidRPr="00CE5A19">
        <w:rPr>
          <w:rFonts w:ascii="Bookman Old Style" w:hAnsi="Bookman Old Style"/>
        </w:rPr>
        <w:t>417.9  UNLAWFUL DISCRIMINATION DAMAGES</w:t>
      </w:r>
      <w:bookmarkEnd w:id="0"/>
    </w:p>
    <w:p w14:paraId="14D7A641" w14:textId="77777777" w:rsidR="00E4171F" w:rsidRPr="00CE5A19" w:rsidRDefault="00E4171F" w:rsidP="00E4171F">
      <w:pPr>
        <w:pStyle w:val="SJIText1"/>
        <w:rPr>
          <w:rStyle w:val="SJIBold"/>
          <w:rFonts w:ascii="Bookman Old Style" w:hAnsi="Bookman Old Style"/>
        </w:rPr>
      </w:pPr>
      <w:r w:rsidRPr="00CE5A19">
        <w:rPr>
          <w:rStyle w:val="SJIBold"/>
          <w:rFonts w:ascii="Bookman Old Style" w:hAnsi="Bookman Old Style"/>
        </w:rPr>
        <w:t xml:space="preserve">If you find for </w:t>
      </w:r>
      <w:r w:rsidRPr="00CE5A19">
        <w:rPr>
          <w:rStyle w:val="SJINormalText"/>
          <w:rFonts w:ascii="Bookman Old Style" w:hAnsi="Bookman Old Style"/>
        </w:rPr>
        <w:t>(defendant)</w:t>
      </w:r>
      <w:r w:rsidRPr="00CE5A19">
        <w:rPr>
          <w:rStyle w:val="SJIBold"/>
          <w:rFonts w:ascii="Bookman Old Style" w:hAnsi="Bookman Old Style"/>
        </w:rPr>
        <w:t xml:space="preserve">, you will not consider the matter of damages. But if you find for </w:t>
      </w:r>
      <w:r w:rsidRPr="00CE5A19">
        <w:rPr>
          <w:rStyle w:val="SJINormalText"/>
          <w:rFonts w:ascii="Bookman Old Style" w:hAnsi="Bookman Old Style"/>
        </w:rPr>
        <w:t>(claimant)</w:t>
      </w:r>
      <w:r w:rsidRPr="00CE5A19">
        <w:rPr>
          <w:rStyle w:val="SJIBold"/>
          <w:rFonts w:ascii="Bookman Old Style" w:hAnsi="Bookman Old Style"/>
        </w:rPr>
        <w:t xml:space="preserve">, you should award </w:t>
      </w:r>
      <w:r w:rsidRPr="00CE5A19">
        <w:rPr>
          <w:rStyle w:val="SJINormalText"/>
          <w:rFonts w:ascii="Bookman Old Style" w:hAnsi="Bookman Old Style"/>
        </w:rPr>
        <w:t>(claimant)</w:t>
      </w:r>
      <w:r w:rsidRPr="00CE5A19">
        <w:rPr>
          <w:rStyle w:val="SJIBold"/>
          <w:rFonts w:ascii="Bookman Old Style" w:hAnsi="Bookman Old Style"/>
        </w:rPr>
        <w:t xml:space="preserve"> an amount of money that the greater weight of the evidence shows will fairly and adequately compensate [him] [her] for such damage, including any such damage as </w:t>
      </w:r>
      <w:r w:rsidRPr="00CE5A19">
        <w:rPr>
          <w:rStyle w:val="SJINormalText"/>
          <w:rFonts w:ascii="Bookman Old Style" w:hAnsi="Bookman Old Style"/>
        </w:rPr>
        <w:t>(claimant)</w:t>
      </w:r>
      <w:r w:rsidRPr="00CE5A19">
        <w:rPr>
          <w:rStyle w:val="SJIBold"/>
          <w:rFonts w:ascii="Bookman Old Style" w:hAnsi="Bookman Old Style"/>
        </w:rPr>
        <w:t xml:space="preserve"> is reasonably certain to incur in the future. You shall consider the following elements of damages:</w:t>
      </w:r>
    </w:p>
    <w:p w14:paraId="3011CB14" w14:textId="77777777" w:rsidR="00E4171F" w:rsidRPr="00CE5A19" w:rsidRDefault="00E4171F" w:rsidP="00E4171F">
      <w:pPr>
        <w:pStyle w:val="SJIText1"/>
        <w:rPr>
          <w:rStyle w:val="SJIBold"/>
          <w:rFonts w:ascii="Bookman Old Style" w:hAnsi="Bookman Old Style"/>
        </w:rPr>
      </w:pPr>
      <w:r w:rsidRPr="00CE5A19">
        <w:rPr>
          <w:rStyle w:val="SJIBold"/>
          <w:rFonts w:ascii="Bookman Old Style" w:hAnsi="Bookman Old Style"/>
        </w:rPr>
        <w:t xml:space="preserve">[any] [the difference between] lost wages and benefits to the date of trial [and what </w:t>
      </w:r>
      <w:r w:rsidRPr="00CE5A19">
        <w:rPr>
          <w:rStyle w:val="SJINormalText"/>
          <w:rFonts w:ascii="Bookman Old Style" w:hAnsi="Bookman Old Style"/>
        </w:rPr>
        <w:t>(claimant)</w:t>
      </w:r>
      <w:r w:rsidRPr="00CE5A19">
        <w:rPr>
          <w:rStyle w:val="SJIBold"/>
          <w:rFonts w:ascii="Bookman Old Style" w:hAnsi="Bookman Old Style"/>
        </w:rPr>
        <w:t xml:space="preserve"> earned during that time].</w:t>
      </w:r>
    </w:p>
    <w:p w14:paraId="35A89256" w14:textId="77777777" w:rsidR="00E4171F" w:rsidRPr="00CE5A19" w:rsidRDefault="00E4171F" w:rsidP="00E4171F">
      <w:pPr>
        <w:pStyle w:val="SJIText1"/>
        <w:rPr>
          <w:rStyle w:val="SJIBold"/>
          <w:rFonts w:ascii="Bookman Old Style" w:hAnsi="Bookman Old Style"/>
        </w:rPr>
      </w:pPr>
      <w:r w:rsidRPr="00CE5A19">
        <w:rPr>
          <w:rStyle w:val="SJIBold"/>
          <w:rFonts w:ascii="Bookman Old Style" w:hAnsi="Bookman Old Style"/>
        </w:rPr>
        <w:t>[any mental anguish] [loss of dignity] and [</w:t>
      </w:r>
      <w:r w:rsidRPr="00CE5A19">
        <w:rPr>
          <w:rStyle w:val="SJINormalText"/>
          <w:rFonts w:ascii="Bookman Old Style" w:hAnsi="Bookman Old Style"/>
        </w:rPr>
        <w:t>(describe other intangible injuries)</w:t>
      </w:r>
      <w:r w:rsidRPr="00CE5A19">
        <w:rPr>
          <w:rStyle w:val="SJIBold"/>
          <w:rFonts w:ascii="Bookman Old Style" w:hAnsi="Bookman Old Style"/>
        </w:rPr>
        <w:t>] experienced in the past or to be experienced in the future. There is no exact standard for measuring such damages. The amount should be fair and just in the light of the evidence.</w:t>
      </w:r>
    </w:p>
    <w:p w14:paraId="1F02BF71" w14:textId="77777777" w:rsidR="00E4171F" w:rsidRPr="00CE5A19" w:rsidRDefault="00E4171F" w:rsidP="00E4171F">
      <w:pPr>
        <w:pStyle w:val="SJIText1"/>
        <w:rPr>
          <w:rStyle w:val="SJIBold"/>
          <w:rFonts w:ascii="Bookman Old Style" w:hAnsi="Bookman Old Style"/>
        </w:rPr>
      </w:pPr>
      <w:r w:rsidRPr="00CE5A19">
        <w:rPr>
          <w:rStyle w:val="SJIBold"/>
          <w:rFonts w:ascii="Bookman Old Style" w:hAnsi="Bookman Old Style"/>
        </w:rPr>
        <w:t xml:space="preserve">[any punitive damages warranted.] </w:t>
      </w:r>
      <w:r w:rsidRPr="00CE5A19">
        <w:rPr>
          <w:rStyle w:val="SJINormalText"/>
          <w:rFonts w:ascii="Bookman Old Style" w:hAnsi="Bookman Old Style"/>
        </w:rPr>
        <w:t>(insert applicable punitive damages instruction)</w:t>
      </w:r>
      <w:r w:rsidRPr="00CE5A19">
        <w:rPr>
          <w:rStyle w:val="SJIBold"/>
          <w:rFonts w:ascii="Bookman Old Style" w:hAnsi="Bookman Old Style"/>
        </w:rPr>
        <w:t>.</w:t>
      </w:r>
    </w:p>
    <w:p w14:paraId="47770F7E" w14:textId="77777777" w:rsidR="00E4171F" w:rsidRPr="00CE5A19" w:rsidRDefault="00E4171F" w:rsidP="00E4171F">
      <w:pPr>
        <w:pStyle w:val="SJICenter1"/>
        <w:rPr>
          <w:rFonts w:ascii="Bookman Old Style" w:hAnsi="Bookman Old Style"/>
        </w:rPr>
      </w:pPr>
      <w:r w:rsidRPr="00CE5A19">
        <w:rPr>
          <w:rFonts w:ascii="Bookman Old Style" w:hAnsi="Bookman Old Style"/>
        </w:rPr>
        <w:t>NOTES ON USE FOR 417.9</w:t>
      </w:r>
    </w:p>
    <w:p w14:paraId="3D9A2C84" w14:textId="77777777" w:rsidR="00E4171F" w:rsidRPr="00CE5A19" w:rsidRDefault="00E4171F" w:rsidP="00E4171F">
      <w:pPr>
        <w:pStyle w:val="SJIText1"/>
        <w:rPr>
          <w:rFonts w:ascii="Bookman Old Style" w:hAnsi="Bookman Old Style"/>
        </w:rPr>
      </w:pPr>
      <w:r w:rsidRPr="00CE5A19">
        <w:rPr>
          <w:rFonts w:ascii="Bookman Old Style" w:hAnsi="Bookman Old Style"/>
        </w:rPr>
        <w:t>1.</w:t>
      </w:r>
      <w:r w:rsidRPr="00CE5A19">
        <w:rPr>
          <w:rFonts w:ascii="Bookman Old Style" w:hAnsi="Bookman Old Style"/>
        </w:rPr>
        <w:tab/>
      </w:r>
      <w:r w:rsidRPr="00CE5A19">
        <w:rPr>
          <w:rStyle w:val="SJIItalic"/>
          <w:rFonts w:ascii="Bookman Old Style" w:hAnsi="Bookman Old Style"/>
        </w:rPr>
        <w:t>Lost wages and benefits.</w:t>
      </w:r>
      <w:r w:rsidRPr="00CE5A19">
        <w:rPr>
          <w:rFonts w:ascii="Bookman Old Style" w:hAnsi="Bookman Old Style"/>
        </w:rPr>
        <w:t xml:space="preserve"> The court may issue an order “providing affirmative relief from the effects of the discriminatory practice, including back pay.” </w:t>
      </w:r>
      <w:r w:rsidRPr="00CE5A19">
        <w:rPr>
          <w:rStyle w:val="SJIItalic"/>
          <w:rFonts w:ascii="Bookman Old Style" w:hAnsi="Bookman Old Style"/>
        </w:rPr>
        <w:t>F.S.</w:t>
      </w:r>
      <w:r w:rsidRPr="00CE5A19">
        <w:rPr>
          <w:rFonts w:ascii="Bookman Old Style" w:hAnsi="Bookman Old Style"/>
        </w:rPr>
        <w:t xml:space="preserve"> 760.11(5).  Under Florida law, back pay is a legal remedy decided by the jury, and front pay is an equitable remedy that does not include a right to jury determination. </w:t>
      </w:r>
      <w:r w:rsidRPr="00CE5A19">
        <w:rPr>
          <w:rStyle w:val="SJIItalic"/>
          <w:rFonts w:ascii="Bookman Old Style" w:hAnsi="Bookman Old Style"/>
        </w:rPr>
        <w:t>O’Neal v. Fla. A&amp;M Univ.</w:t>
      </w:r>
      <w:r w:rsidRPr="00CE5A19">
        <w:rPr>
          <w:rFonts w:ascii="Bookman Old Style" w:hAnsi="Bookman Old Style"/>
        </w:rPr>
        <w:t xml:space="preserve">, 989 So. 2d 6 (Fla. 1st DCA 2008) (decided under Florida’s Whistle-blower’s Act). Some federal courts submit front pay issues to the jury for an advisory verdict.  See, </w:t>
      </w:r>
      <w:r w:rsidRPr="00CE5A19">
        <w:rPr>
          <w:rStyle w:val="SJIItalic"/>
          <w:rFonts w:ascii="Bookman Old Style" w:hAnsi="Bookman Old Style"/>
        </w:rPr>
        <w:t>e.g.</w:t>
      </w:r>
      <w:r w:rsidRPr="00CE5A19">
        <w:rPr>
          <w:rFonts w:ascii="Bookman Old Style" w:hAnsi="Bookman Old Style"/>
        </w:rPr>
        <w:t xml:space="preserve">, </w:t>
      </w:r>
      <w:r w:rsidRPr="00CE5A19">
        <w:rPr>
          <w:rStyle w:val="SJIItalic"/>
          <w:rFonts w:ascii="Bookman Old Style" w:hAnsi="Bookman Old Style"/>
        </w:rPr>
        <w:t>Wilson v. S &amp; L Acquisition Co., L.P.</w:t>
      </w:r>
      <w:r w:rsidRPr="00CE5A19">
        <w:rPr>
          <w:rFonts w:ascii="Bookman Old Style" w:hAnsi="Bookman Old Style"/>
        </w:rPr>
        <w:t xml:space="preserve">, 940 F.2d 1429, 1438 (11th Cir. 1991); </w:t>
      </w:r>
      <w:r w:rsidRPr="00CE5A19">
        <w:rPr>
          <w:rStyle w:val="SJIItalic"/>
          <w:rFonts w:ascii="Bookman Old Style" w:hAnsi="Bookman Old Style"/>
        </w:rPr>
        <w:t>Hudson v. Chertoff</w:t>
      </w:r>
      <w:r w:rsidRPr="00CE5A19">
        <w:rPr>
          <w:rFonts w:ascii="Bookman Old Style" w:hAnsi="Bookman Old Style"/>
        </w:rPr>
        <w:t xml:space="preserve">, 473 F. Supp. 2d 1279 (S.D. Fla. 2007); </w:t>
      </w:r>
      <w:r w:rsidRPr="00CE5A19">
        <w:rPr>
          <w:rStyle w:val="SJIItalic"/>
          <w:rFonts w:ascii="Bookman Old Style" w:hAnsi="Bookman Old Style"/>
        </w:rPr>
        <w:t>Hill v. Xerox Corp.</w:t>
      </w:r>
      <w:r w:rsidRPr="00CE5A19">
        <w:rPr>
          <w:rFonts w:ascii="Bookman Old Style" w:hAnsi="Bookman Old Style"/>
        </w:rPr>
        <w:t xml:space="preserve">, 998 F. Supp. 1378, 1385 n. 9 (N.D. Fla. 1998); </w:t>
      </w:r>
      <w:proofErr w:type="spellStart"/>
      <w:r w:rsidRPr="00CE5A19">
        <w:rPr>
          <w:rStyle w:val="SJIItalic"/>
          <w:rFonts w:ascii="Bookman Old Style" w:hAnsi="Bookman Old Style"/>
        </w:rPr>
        <w:t>Quitto</w:t>
      </w:r>
      <w:proofErr w:type="spellEnd"/>
      <w:r w:rsidRPr="00CE5A19">
        <w:rPr>
          <w:rStyle w:val="SJIItalic"/>
          <w:rFonts w:ascii="Bookman Old Style" w:hAnsi="Bookman Old Style"/>
        </w:rPr>
        <w:t xml:space="preserve"> v. Bay Colony Golf Club, Inc.</w:t>
      </w:r>
      <w:r w:rsidRPr="00CE5A19">
        <w:rPr>
          <w:rFonts w:ascii="Bookman Old Style" w:hAnsi="Bookman Old Style"/>
        </w:rPr>
        <w:t>, 2007 WL 4098847, *1–2 (M.D. Fla. 2007). The Committee takes no position on instructing the jury to determine front pay or on the use of an advisory verdict.</w:t>
      </w:r>
    </w:p>
    <w:p w14:paraId="5EAA9254" w14:textId="77777777" w:rsidR="00E4171F" w:rsidRPr="00CE5A19" w:rsidRDefault="00E4171F" w:rsidP="00E4171F">
      <w:pPr>
        <w:pStyle w:val="SJIText1"/>
        <w:rPr>
          <w:rFonts w:ascii="Bookman Old Style" w:hAnsi="Bookman Old Style"/>
        </w:rPr>
      </w:pPr>
      <w:r w:rsidRPr="00CE5A19">
        <w:rPr>
          <w:rFonts w:ascii="Bookman Old Style" w:hAnsi="Bookman Old Style"/>
        </w:rPr>
        <w:lastRenderedPageBreak/>
        <w:t>2.</w:t>
      </w:r>
      <w:r w:rsidRPr="00CE5A19">
        <w:rPr>
          <w:rFonts w:ascii="Bookman Old Style" w:hAnsi="Bookman Old Style"/>
        </w:rPr>
        <w:tab/>
      </w:r>
      <w:r w:rsidRPr="00CE5A19">
        <w:rPr>
          <w:rStyle w:val="SJIItalic"/>
          <w:rFonts w:ascii="Bookman Old Style" w:hAnsi="Bookman Old Style"/>
        </w:rPr>
        <w:t>Compensatory Damages.</w:t>
      </w:r>
      <w:r w:rsidRPr="00CE5A19">
        <w:rPr>
          <w:rFonts w:ascii="Bookman Old Style" w:hAnsi="Bookman Old Style"/>
        </w:rPr>
        <w:t xml:space="preserve"> The court may award “compensatory damages, including, but not limited to, damages for mental anguish, loss of dignity, and other intangible injuries….” </w:t>
      </w:r>
      <w:r w:rsidRPr="00CE5A19">
        <w:rPr>
          <w:rStyle w:val="SJIItalic"/>
          <w:rFonts w:ascii="Bookman Old Style" w:hAnsi="Bookman Old Style"/>
        </w:rPr>
        <w:t>F.S.</w:t>
      </w:r>
      <w:r w:rsidRPr="00CE5A19">
        <w:rPr>
          <w:rFonts w:ascii="Bookman Old Style" w:hAnsi="Bookman Old Style"/>
        </w:rPr>
        <w:t xml:space="preserve"> 760.11(5).  Examples of “other intangible injuries” for which damages have been awarded under the FCRA include “emotional distress,” </w:t>
      </w:r>
      <w:r w:rsidRPr="00CE5A19">
        <w:rPr>
          <w:rStyle w:val="SJIItalic"/>
          <w:rFonts w:ascii="Bookman Old Style" w:hAnsi="Bookman Old Style"/>
        </w:rPr>
        <w:t>Munoz v. Oceanside Resorts, Inc.</w:t>
      </w:r>
      <w:r w:rsidRPr="00CE5A19">
        <w:rPr>
          <w:rFonts w:ascii="Bookman Old Style" w:hAnsi="Bookman Old Style"/>
        </w:rPr>
        <w:t xml:space="preserve">, 223 F.3d 1340, 1348–49 (11th Cir. 2000); “emotional injury,” </w:t>
      </w:r>
      <w:r w:rsidRPr="00CE5A19">
        <w:rPr>
          <w:rStyle w:val="SJIItalic"/>
          <w:rFonts w:ascii="Bookman Old Style" w:hAnsi="Bookman Old Style"/>
        </w:rPr>
        <w:t>City of Hollywood v. Hogan</w:t>
      </w:r>
      <w:r w:rsidRPr="00CE5A19">
        <w:rPr>
          <w:rFonts w:ascii="Bookman Old Style" w:hAnsi="Bookman Old Style"/>
        </w:rPr>
        <w:t xml:space="preserve">, 986 So. 2d 634, 649–50 (4th DCA 2008); “humiliation and embarrassment,” </w:t>
      </w:r>
      <w:proofErr w:type="spellStart"/>
      <w:r w:rsidRPr="00CE5A19">
        <w:rPr>
          <w:rStyle w:val="SJIItalic"/>
          <w:rFonts w:ascii="Bookman Old Style" w:hAnsi="Bookman Old Style"/>
        </w:rPr>
        <w:t>Melluzzo</w:t>
      </w:r>
      <w:proofErr w:type="spellEnd"/>
      <w:r w:rsidRPr="00CE5A19">
        <w:rPr>
          <w:rStyle w:val="SJIItalic"/>
          <w:rFonts w:ascii="Bookman Old Style" w:hAnsi="Bookman Old Style"/>
        </w:rPr>
        <w:t xml:space="preserve"> v. Pub. Advocate</w:t>
      </w:r>
      <w:r w:rsidRPr="00CE5A19">
        <w:rPr>
          <w:rFonts w:ascii="Bookman Old Style" w:hAnsi="Bookman Old Style"/>
        </w:rPr>
        <w:t xml:space="preserve">, 2006 WL 5159197, at *3 (M.D. Fla. 2006); “pain and suffering” and “loss of capacity for enjoyment of life experienced in the past or to be experienced in the future,” </w:t>
      </w:r>
      <w:r w:rsidRPr="00CE5A19">
        <w:rPr>
          <w:rStyle w:val="SJIItalic"/>
          <w:rFonts w:ascii="Bookman Old Style" w:hAnsi="Bookman Old Style"/>
        </w:rPr>
        <w:t>Moses v. K-Mart Corp.</w:t>
      </w:r>
      <w:r w:rsidRPr="00CE5A19">
        <w:rPr>
          <w:rFonts w:ascii="Bookman Old Style" w:hAnsi="Bookman Old Style"/>
        </w:rPr>
        <w:t xml:space="preserve">, 905 F. Supp. 1054, 1060 n.7 (S.D. Fla. 1995), </w:t>
      </w:r>
      <w:r w:rsidRPr="00CE5A19">
        <w:rPr>
          <w:rStyle w:val="SJIItalic"/>
          <w:rFonts w:ascii="Bookman Old Style" w:hAnsi="Bookman Old Style"/>
        </w:rPr>
        <w:t>aff’d</w:t>
      </w:r>
      <w:r w:rsidRPr="00CE5A19">
        <w:rPr>
          <w:rFonts w:ascii="Bookman Old Style" w:hAnsi="Bookman Old Style"/>
        </w:rPr>
        <w:t xml:space="preserve"> 119 F.3d 10 (11th Cir. 1997). </w:t>
      </w:r>
    </w:p>
    <w:p w14:paraId="50BC7A34" w14:textId="77777777" w:rsidR="00E4171F" w:rsidRPr="00CE5A19" w:rsidRDefault="00E4171F" w:rsidP="00E4171F">
      <w:pPr>
        <w:pStyle w:val="SJIText1"/>
        <w:rPr>
          <w:rFonts w:ascii="Bookman Old Style" w:hAnsi="Bookman Old Style"/>
        </w:rPr>
      </w:pPr>
      <w:r w:rsidRPr="00CE5A19">
        <w:rPr>
          <w:rFonts w:ascii="Bookman Old Style" w:hAnsi="Bookman Old Style"/>
        </w:rPr>
        <w:t>3.</w:t>
      </w:r>
      <w:r w:rsidRPr="00CE5A19">
        <w:rPr>
          <w:rFonts w:ascii="Bookman Old Style" w:hAnsi="Bookman Old Style"/>
        </w:rPr>
        <w:tab/>
      </w:r>
      <w:r w:rsidRPr="00CE5A19">
        <w:rPr>
          <w:rStyle w:val="SJIItalic"/>
          <w:rFonts w:ascii="Bookman Old Style" w:hAnsi="Bookman Old Style"/>
        </w:rPr>
        <w:t>Punitive Damages.</w:t>
      </w:r>
      <w:r w:rsidRPr="00CE5A19">
        <w:rPr>
          <w:rFonts w:ascii="Bookman Old Style" w:hAnsi="Bookman Old Style"/>
        </w:rPr>
        <w:t xml:space="preserve"> The court may award punitive damages not to exceed $100,000. </w:t>
      </w:r>
      <w:r w:rsidRPr="00CE5A19">
        <w:rPr>
          <w:rStyle w:val="SJIItalic"/>
          <w:rFonts w:ascii="Bookman Old Style" w:hAnsi="Bookman Old Style"/>
        </w:rPr>
        <w:t>F.S.</w:t>
      </w:r>
      <w:r w:rsidRPr="00CE5A19">
        <w:rPr>
          <w:rFonts w:ascii="Bookman Old Style" w:hAnsi="Bookman Old Style"/>
        </w:rPr>
        <w:t xml:space="preserve"> 760.11(5). Pending further development of the law, the committee takes no position as to whether the Florida standard or the heightened federal standard for holding an employer vicariously liable for punitive damages for the conduct of its employee should apply. </w:t>
      </w:r>
      <w:r w:rsidRPr="00CE5A19">
        <w:rPr>
          <w:rStyle w:val="SJINormalText"/>
          <w:rFonts w:ascii="Bookman Old Style" w:hAnsi="Bookman Old Style"/>
        </w:rPr>
        <w:t xml:space="preserve">See </w:t>
      </w:r>
      <w:r w:rsidRPr="00CE5A19">
        <w:rPr>
          <w:rStyle w:val="SJIItalic"/>
          <w:rFonts w:ascii="Bookman Old Style" w:hAnsi="Bookman Old Style"/>
        </w:rPr>
        <w:t xml:space="preserve">Speedway </w:t>
      </w:r>
      <w:proofErr w:type="spellStart"/>
      <w:r w:rsidRPr="00CE5A19">
        <w:rPr>
          <w:rStyle w:val="SJIItalic"/>
          <w:rFonts w:ascii="Bookman Old Style" w:hAnsi="Bookman Old Style"/>
        </w:rPr>
        <w:t>SuperAmerica</w:t>
      </w:r>
      <w:proofErr w:type="spellEnd"/>
      <w:r w:rsidRPr="00CE5A19">
        <w:rPr>
          <w:rStyle w:val="SJIItalic"/>
          <w:rFonts w:ascii="Bookman Old Style" w:hAnsi="Bookman Old Style"/>
        </w:rPr>
        <w:t>, LLC v. DuPont</w:t>
      </w:r>
      <w:r w:rsidRPr="00CE5A19">
        <w:rPr>
          <w:rFonts w:ascii="Bookman Old Style" w:hAnsi="Bookman Old Style"/>
        </w:rPr>
        <w:t xml:space="preserve">, 933 So. 2d 75 (Fla. 5th DCA 2006) (certifying the question of whether the state or federal standard applies), </w:t>
      </w:r>
      <w:r w:rsidRPr="00CE5A19">
        <w:rPr>
          <w:rStyle w:val="SJIItalic"/>
          <w:rFonts w:ascii="Bookman Old Style" w:hAnsi="Bookman Old Style"/>
        </w:rPr>
        <w:t>review dismissed</w:t>
      </w:r>
      <w:r w:rsidRPr="00CE5A19">
        <w:rPr>
          <w:rFonts w:ascii="Bookman Old Style" w:hAnsi="Bookman Old Style"/>
        </w:rPr>
        <w:t xml:space="preserve"> 955 So. 2d 533 (Fla. 2007).</w:t>
      </w:r>
    </w:p>
    <w:p w14:paraId="69A906FD" w14:textId="77777777" w:rsidR="00E4171F" w:rsidRPr="00CE5A19" w:rsidRDefault="00E4171F" w:rsidP="00E4171F">
      <w:pPr>
        <w:pStyle w:val="SJIText1"/>
        <w:rPr>
          <w:rFonts w:ascii="Bookman Old Style" w:hAnsi="Bookman Old Style"/>
        </w:rPr>
      </w:pPr>
      <w:r w:rsidRPr="00CE5A19">
        <w:rPr>
          <w:rFonts w:ascii="Bookman Old Style" w:hAnsi="Bookman Old Style"/>
        </w:rPr>
        <w:t xml:space="preserve">“Under Florida law, the purpose of punitive damages is not to further compensate the plaintiff, but to punish the defendant for its wrongful conduct and to deter similar misconduct by it and other actors in the future.” </w:t>
      </w:r>
      <w:r w:rsidRPr="00CE5A19">
        <w:rPr>
          <w:rStyle w:val="SJIItalic"/>
          <w:rFonts w:ascii="Bookman Old Style" w:hAnsi="Bookman Old Style"/>
        </w:rPr>
        <w:t>Owens-Corning Fiberglas Corp. v. Ballard</w:t>
      </w:r>
      <w:r w:rsidRPr="00CE5A19">
        <w:rPr>
          <w:rFonts w:ascii="Bookman Old Style" w:hAnsi="Bookman Old Style"/>
        </w:rPr>
        <w:t xml:space="preserve">, 749 So. 2d 483, 486 (Fla. 1999).  However, “it is not clear what the standard is for punitive damages awarded under section 760.10,” </w:t>
      </w:r>
      <w:r w:rsidRPr="00CE5A19">
        <w:rPr>
          <w:rStyle w:val="SJIItalic"/>
          <w:rFonts w:ascii="Bookman Old Style" w:hAnsi="Bookman Old Style"/>
        </w:rPr>
        <w:t>DuPont</w:t>
      </w:r>
      <w:r w:rsidRPr="00CE5A19">
        <w:rPr>
          <w:rFonts w:ascii="Bookman Old Style" w:hAnsi="Bookman Old Style"/>
        </w:rPr>
        <w:t xml:space="preserve">, 933 So. 2d at 89, and the committee takes no position as to the standard for determining whether punitive damages are warranted. The FCRA, unlike Title VII, “simply provides that punitive damages may be awarded,” without any express requirement as to what action is appropriate for punitive damage.  </w:t>
      </w:r>
      <w:r w:rsidRPr="00CE5A19">
        <w:rPr>
          <w:rStyle w:val="SJIItalic"/>
          <w:rFonts w:ascii="Bookman Old Style" w:hAnsi="Bookman Old Style"/>
        </w:rPr>
        <w:t>Id.</w:t>
      </w:r>
      <w:r w:rsidRPr="00CE5A19">
        <w:rPr>
          <w:rFonts w:ascii="Bookman Old Style" w:hAnsi="Bookman Old Style"/>
        </w:rPr>
        <w:t xml:space="preserve"> at 89–90.</w:t>
      </w:r>
    </w:p>
    <w:p w14:paraId="147DF98B" w14:textId="77777777" w:rsidR="000C7AE9" w:rsidRPr="00CE5A19" w:rsidRDefault="00E4171F" w:rsidP="00E4171F">
      <w:pPr>
        <w:pStyle w:val="SJIText1"/>
        <w:rPr>
          <w:rFonts w:ascii="Bookman Old Style" w:hAnsi="Bookman Old Style"/>
        </w:rPr>
      </w:pPr>
      <w:r w:rsidRPr="00CE5A19">
        <w:rPr>
          <w:rFonts w:ascii="Bookman Old Style" w:hAnsi="Bookman Old Style"/>
        </w:rPr>
        <w:t xml:space="preserve">Some federal courts have applied Title VII’s punitive damages standard to claims for punitive damages under the FCRA.  See, </w:t>
      </w:r>
      <w:r w:rsidRPr="00CE5A19">
        <w:rPr>
          <w:rStyle w:val="SJIItalic"/>
          <w:rFonts w:ascii="Bookman Old Style" w:hAnsi="Bookman Old Style"/>
        </w:rPr>
        <w:t>e.g.</w:t>
      </w:r>
      <w:r w:rsidRPr="00CE5A19">
        <w:rPr>
          <w:rFonts w:ascii="Bookman Old Style" w:hAnsi="Bookman Old Style"/>
        </w:rPr>
        <w:t xml:space="preserve">, </w:t>
      </w:r>
      <w:proofErr w:type="spellStart"/>
      <w:r w:rsidRPr="00CE5A19">
        <w:rPr>
          <w:rStyle w:val="SJIItalic"/>
          <w:rFonts w:ascii="Bookman Old Style" w:hAnsi="Bookman Old Style"/>
        </w:rPr>
        <w:lastRenderedPageBreak/>
        <w:t>Hipp</w:t>
      </w:r>
      <w:proofErr w:type="spellEnd"/>
      <w:r w:rsidRPr="00CE5A19">
        <w:rPr>
          <w:rStyle w:val="SJIItalic"/>
          <w:rFonts w:ascii="Bookman Old Style" w:hAnsi="Bookman Old Style"/>
        </w:rPr>
        <w:t xml:space="preserve"> v. Liberty Nat. Life Ins. Co.</w:t>
      </w:r>
      <w:r w:rsidRPr="00CE5A19">
        <w:rPr>
          <w:rFonts w:ascii="Bookman Old Style" w:hAnsi="Bookman Old Style"/>
        </w:rPr>
        <w:t xml:space="preserve">, 65 F. Supp. 2d 1314 (M.D. Fla. 1999), </w:t>
      </w:r>
      <w:r w:rsidRPr="00CE5A19">
        <w:rPr>
          <w:rStyle w:val="SJIItalic"/>
          <w:rFonts w:ascii="Bookman Old Style" w:hAnsi="Bookman Old Style"/>
        </w:rPr>
        <w:t>aff’d in part, rev’d in part on other grounds</w:t>
      </w:r>
      <w:r w:rsidRPr="00CE5A19">
        <w:rPr>
          <w:rFonts w:ascii="Bookman Old Style" w:hAnsi="Bookman Old Style"/>
        </w:rPr>
        <w:t xml:space="preserve"> 252 F.3d 1208 (11th Cir. 2001).  “To recover punitive damages under Title VII, a plaintiff must prove that defendant has ‘engaged in discriminatory practices with malice or with reckless indifference to the federally protected rights of an aggrieved individual.’” </w:t>
      </w:r>
      <w:r w:rsidRPr="00CE5A19">
        <w:rPr>
          <w:rStyle w:val="SJIItalic"/>
          <w:rFonts w:ascii="Bookman Old Style" w:hAnsi="Bookman Old Style"/>
        </w:rPr>
        <w:t xml:space="preserve">Richardson v. </w:t>
      </w:r>
      <w:proofErr w:type="spellStart"/>
      <w:r w:rsidRPr="00CE5A19">
        <w:rPr>
          <w:rStyle w:val="SJIItalic"/>
          <w:rFonts w:ascii="Bookman Old Style" w:hAnsi="Bookman Old Style"/>
        </w:rPr>
        <w:t>Tricom</w:t>
      </w:r>
      <w:proofErr w:type="spellEnd"/>
      <w:r w:rsidRPr="00CE5A19">
        <w:rPr>
          <w:rStyle w:val="SJIItalic"/>
          <w:rFonts w:ascii="Bookman Old Style" w:hAnsi="Bookman Old Style"/>
        </w:rPr>
        <w:t xml:space="preserve"> Pictures &amp; Productions, Inc.</w:t>
      </w:r>
      <w:r w:rsidRPr="00CE5A19">
        <w:rPr>
          <w:rFonts w:ascii="Bookman Old Style" w:hAnsi="Bookman Old Style"/>
        </w:rPr>
        <w:t xml:space="preserve">, 334 F. Supp. 2d 1303, 1319 (S.D. Fla. 2004) (quoting 42 U.S.C. § 1981a(b)(1)).  “Malice or reckless indifference is shown when the employer knowingly violates federal law….”  </w:t>
      </w:r>
      <w:r w:rsidRPr="00CE5A19">
        <w:rPr>
          <w:rStyle w:val="SJIItalic"/>
          <w:rFonts w:ascii="Bookman Old Style" w:hAnsi="Bookman Old Style"/>
        </w:rPr>
        <w:t>Id.</w:t>
      </w:r>
      <w:r w:rsidRPr="00CE5A19">
        <w:rPr>
          <w:rFonts w:ascii="Bookman Old Style" w:hAnsi="Bookman Old Style"/>
        </w:rPr>
        <w:t xml:space="preserve"> at 1319–1320 (citing </w:t>
      </w:r>
      <w:r w:rsidRPr="00CE5A19">
        <w:rPr>
          <w:rStyle w:val="SJIItalic"/>
          <w:rFonts w:ascii="Bookman Old Style" w:hAnsi="Bookman Old Style"/>
        </w:rPr>
        <w:t>Kolstad v. Am. Dental Ass’n</w:t>
      </w:r>
      <w:r w:rsidRPr="00CE5A19">
        <w:rPr>
          <w:rFonts w:ascii="Bookman Old Style" w:hAnsi="Bookman Old Style"/>
        </w:rPr>
        <w:t xml:space="preserve">, 527 U.S. 526, 535, 119 S. Ct. 2118, 144 L. Ed. 2d 494 (1999)).  “[A]n employer must at least discriminate in the face of a perceived risk that its actions will violate federal law.” </w:t>
      </w:r>
      <w:r w:rsidRPr="00CE5A19">
        <w:rPr>
          <w:rStyle w:val="SJIItalic"/>
          <w:rFonts w:ascii="Bookman Old Style" w:hAnsi="Bookman Old Style"/>
        </w:rPr>
        <w:t>Kolstad</w:t>
      </w:r>
      <w:r w:rsidRPr="00CE5A19">
        <w:rPr>
          <w:rFonts w:ascii="Bookman Old Style" w:hAnsi="Bookman Old Style"/>
        </w:rPr>
        <w:t xml:space="preserve">, 527 U.S. at 535; </w:t>
      </w:r>
      <w:r w:rsidRPr="00CE5A19">
        <w:rPr>
          <w:rStyle w:val="SJIItalic"/>
          <w:rFonts w:ascii="Bookman Old Style" w:hAnsi="Bookman Old Style"/>
        </w:rPr>
        <w:t>Richardson</w:t>
      </w:r>
      <w:r w:rsidRPr="00CE5A19">
        <w:rPr>
          <w:rFonts w:ascii="Bookman Old Style" w:hAnsi="Bookman Old Style"/>
        </w:rPr>
        <w:t>, 334 F. Supp. 2d at 1320.</w:t>
      </w:r>
    </w:p>
    <w:sectPr w:rsidR="000C7AE9" w:rsidRPr="00CE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Bold">
    <w:altName w:val="Times New Roman"/>
    <w:panose1 w:val="02020803070505020304"/>
    <w:charset w:val="00"/>
    <w:family w:val="roman"/>
    <w:notTrueType/>
    <w:pitch w:val="default"/>
  </w:font>
  <w:font w:name="Bookman Old Style">
    <w:altName w:val="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1F"/>
    <w:rsid w:val="000C7AE9"/>
    <w:rsid w:val="000D5A82"/>
    <w:rsid w:val="001D7B5E"/>
    <w:rsid w:val="002132D6"/>
    <w:rsid w:val="00252AB0"/>
    <w:rsid w:val="0027486D"/>
    <w:rsid w:val="002B25AA"/>
    <w:rsid w:val="00496540"/>
    <w:rsid w:val="004E4E55"/>
    <w:rsid w:val="005B129F"/>
    <w:rsid w:val="005C566E"/>
    <w:rsid w:val="005C6597"/>
    <w:rsid w:val="00630435"/>
    <w:rsid w:val="006A162C"/>
    <w:rsid w:val="006E1A49"/>
    <w:rsid w:val="00852874"/>
    <w:rsid w:val="008D2AE9"/>
    <w:rsid w:val="00917368"/>
    <w:rsid w:val="00AB01C8"/>
    <w:rsid w:val="00B335C7"/>
    <w:rsid w:val="00B54AB4"/>
    <w:rsid w:val="00BD3F56"/>
    <w:rsid w:val="00C01AA3"/>
    <w:rsid w:val="00C05D35"/>
    <w:rsid w:val="00CE5A19"/>
    <w:rsid w:val="00D17517"/>
    <w:rsid w:val="00D67741"/>
    <w:rsid w:val="00D90E18"/>
    <w:rsid w:val="00DA5CC2"/>
    <w:rsid w:val="00E07114"/>
    <w:rsid w:val="00E25C82"/>
    <w:rsid w:val="00E4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2141"/>
  <w15:chartTrackingRefBased/>
  <w15:docId w15:val="{BAEA2D1C-54DB-459A-A0B4-A99DE24A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B0"/>
    <w:pPr>
      <w:spacing w:line="240" w:lineRule="auto"/>
    </w:pPr>
    <w:rPr>
      <w:rFonts w:ascii="Times New Roman" w:hAnsi="Times New Roman"/>
      <w:sz w:val="28"/>
    </w:rPr>
  </w:style>
  <w:style w:type="paragraph" w:styleId="Heading1">
    <w:name w:val="heading 1"/>
    <w:basedOn w:val="Normal"/>
    <w:next w:val="Normal"/>
    <w:link w:val="Heading1Char"/>
    <w:uiPriority w:val="9"/>
    <w:semiHidden/>
    <w:rsid w:val="0091736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qFormat/>
    <w:rsid w:val="004E4E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Text1">
    <w:name w:val="Rules Text 1"/>
    <w:basedOn w:val="Normal"/>
    <w:qFormat/>
    <w:rsid w:val="00AB01C8"/>
    <w:pPr>
      <w:spacing w:after="280"/>
      <w:ind w:firstLine="720"/>
    </w:pPr>
  </w:style>
  <w:style w:type="paragraph" w:customStyle="1" w:styleId="RulesText2">
    <w:name w:val="Rules Text 2"/>
    <w:basedOn w:val="Normal"/>
    <w:qFormat/>
    <w:rsid w:val="00AB01C8"/>
    <w:pPr>
      <w:spacing w:after="280"/>
      <w:ind w:firstLine="1440"/>
    </w:pPr>
  </w:style>
  <w:style w:type="paragraph" w:customStyle="1" w:styleId="RulesText3">
    <w:name w:val="Rules Text 3"/>
    <w:basedOn w:val="Normal"/>
    <w:qFormat/>
    <w:rsid w:val="00AB01C8"/>
    <w:pPr>
      <w:spacing w:after="280"/>
      <w:ind w:firstLine="2160"/>
    </w:pPr>
  </w:style>
  <w:style w:type="paragraph" w:customStyle="1" w:styleId="RulesBlock1">
    <w:name w:val="Rules Block 1"/>
    <w:basedOn w:val="Normal"/>
    <w:qFormat/>
    <w:rsid w:val="00AB01C8"/>
    <w:pPr>
      <w:spacing w:after="280"/>
      <w:ind w:left="720"/>
    </w:pPr>
  </w:style>
  <w:style w:type="paragraph" w:customStyle="1" w:styleId="RulesBlock1wtab">
    <w:name w:val="Rules Block 1 w tab"/>
    <w:basedOn w:val="Normal"/>
    <w:qFormat/>
    <w:rsid w:val="0027486D"/>
    <w:pPr>
      <w:spacing w:after="280"/>
      <w:ind w:left="720" w:firstLine="720"/>
    </w:pPr>
  </w:style>
  <w:style w:type="paragraph" w:customStyle="1" w:styleId="RulesBlock2">
    <w:name w:val="Rules Block 2"/>
    <w:basedOn w:val="Normal"/>
    <w:qFormat/>
    <w:rsid w:val="0027486D"/>
    <w:pPr>
      <w:spacing w:after="280"/>
      <w:ind w:left="1440"/>
    </w:pPr>
  </w:style>
  <w:style w:type="paragraph" w:customStyle="1" w:styleId="RulesBlock2wtab">
    <w:name w:val="Rules Block 2 w tab"/>
    <w:basedOn w:val="Normal"/>
    <w:qFormat/>
    <w:rsid w:val="0027486D"/>
    <w:pPr>
      <w:spacing w:after="280"/>
      <w:ind w:left="1440" w:firstLine="720"/>
    </w:pPr>
  </w:style>
  <w:style w:type="paragraph" w:customStyle="1" w:styleId="RulesText4">
    <w:name w:val="Rules Text 4"/>
    <w:basedOn w:val="Normal"/>
    <w:qFormat/>
    <w:rsid w:val="004E4E55"/>
    <w:pPr>
      <w:spacing w:after="280"/>
      <w:ind w:firstLine="2880"/>
    </w:pPr>
  </w:style>
  <w:style w:type="paragraph" w:customStyle="1" w:styleId="RulesText5">
    <w:name w:val="Rules Text 5"/>
    <w:basedOn w:val="Normal"/>
    <w:qFormat/>
    <w:rsid w:val="004E4E55"/>
    <w:pPr>
      <w:spacing w:after="280"/>
      <w:ind w:firstLine="3600"/>
    </w:pPr>
  </w:style>
  <w:style w:type="table" w:customStyle="1" w:styleId="SJITable">
    <w:name w:val="SJI Table"/>
    <w:basedOn w:val="TableNormal"/>
    <w:uiPriority w:val="99"/>
    <w:rsid w:val="0027486D"/>
    <w:pPr>
      <w:spacing w:after="280" w:line="240" w:lineRule="auto"/>
      <w:contextualSpacing/>
    </w:pPr>
    <w:rPr>
      <w:rFonts w:ascii="Times New Roman" w:hAnsi="Times New Roman"/>
      <w:sz w:val="28"/>
    </w:rPr>
    <w:tblPr/>
  </w:style>
  <w:style w:type="paragraph" w:customStyle="1" w:styleId="RulesCenterText">
    <w:name w:val="Rules Center Text"/>
    <w:basedOn w:val="Normal"/>
    <w:qFormat/>
    <w:rsid w:val="00B54AB4"/>
    <w:pPr>
      <w:jc w:val="center"/>
    </w:pPr>
  </w:style>
  <w:style w:type="character" w:styleId="BookTitle">
    <w:name w:val="Book Title"/>
    <w:basedOn w:val="DefaultParagraphFont"/>
    <w:uiPriority w:val="33"/>
    <w:semiHidden/>
    <w:qFormat/>
    <w:rsid w:val="00B54AB4"/>
    <w:rPr>
      <w:b/>
      <w:bCs/>
      <w:smallCaps/>
      <w:spacing w:val="5"/>
    </w:rPr>
  </w:style>
  <w:style w:type="paragraph" w:customStyle="1" w:styleId="RulesTitle">
    <w:name w:val="Rules Title"/>
    <w:basedOn w:val="Heading1"/>
    <w:rsid w:val="00D90E18"/>
    <w:pPr>
      <w:spacing w:before="0" w:after="280"/>
      <w:ind w:left="2160" w:hanging="2160"/>
    </w:pPr>
    <w:rPr>
      <w:rFonts w:ascii="Times New Roman Bold" w:hAnsi="Times New Roman Bold"/>
      <w:caps/>
      <w:color w:val="auto"/>
    </w:rPr>
  </w:style>
  <w:style w:type="paragraph" w:customStyle="1" w:styleId="RulesTitle12pt">
    <w:name w:val="Rules Title (12 pt)"/>
    <w:basedOn w:val="Heading1"/>
    <w:qFormat/>
    <w:rsid w:val="00D90E18"/>
    <w:pPr>
      <w:spacing w:before="0" w:after="240"/>
      <w:ind w:left="2160" w:hanging="2160"/>
    </w:pPr>
    <w:rPr>
      <w:rFonts w:ascii="Times New Roman Bold" w:hAnsi="Times New Roman Bold"/>
      <w:caps/>
      <w:color w:val="auto"/>
      <w:sz w:val="24"/>
    </w:rPr>
  </w:style>
  <w:style w:type="character" w:customStyle="1" w:styleId="Heading1Char">
    <w:name w:val="Heading 1 Char"/>
    <w:basedOn w:val="DefaultParagraphFont"/>
    <w:link w:val="Heading1"/>
    <w:uiPriority w:val="9"/>
    <w:semiHidden/>
    <w:rsid w:val="00252AB0"/>
    <w:rPr>
      <w:rFonts w:asciiTheme="majorHAnsi" w:eastAsiaTheme="majorEastAsia" w:hAnsiTheme="majorHAnsi" w:cstheme="majorBidi"/>
      <w:b/>
      <w:bCs/>
      <w:color w:val="365F91" w:themeColor="accent1" w:themeShade="BF"/>
      <w:sz w:val="28"/>
      <w:szCs w:val="28"/>
    </w:rPr>
  </w:style>
  <w:style w:type="paragraph" w:customStyle="1" w:styleId="RulesText112pt">
    <w:name w:val="Rules Text 1 (12 pt)"/>
    <w:basedOn w:val="Normal"/>
    <w:qFormat/>
    <w:rsid w:val="004E4E55"/>
    <w:pPr>
      <w:spacing w:after="240"/>
      <w:ind w:firstLine="720"/>
    </w:pPr>
    <w:rPr>
      <w:sz w:val="24"/>
    </w:rPr>
  </w:style>
  <w:style w:type="paragraph" w:customStyle="1" w:styleId="RulesReportcaptioncertification">
    <w:name w:val="Rules Report caption/certification"/>
    <w:basedOn w:val="Heading1"/>
    <w:qFormat/>
    <w:rsid w:val="006E1A49"/>
    <w:pPr>
      <w:spacing w:before="0" w:after="280"/>
      <w:jc w:val="center"/>
    </w:pPr>
    <w:rPr>
      <w:rFonts w:ascii="Times New Roman Bold" w:hAnsi="Times New Roman Bold"/>
      <w:b w:val="0"/>
      <w:caps/>
      <w:color w:val="auto"/>
    </w:rPr>
  </w:style>
  <w:style w:type="paragraph" w:customStyle="1" w:styleId="RulesReportCaseStyle">
    <w:name w:val="Rules Report Case Style"/>
    <w:basedOn w:val="Normal"/>
    <w:qFormat/>
    <w:rsid w:val="00B54AB4"/>
    <w:pPr>
      <w:tabs>
        <w:tab w:val="right" w:pos="9360"/>
      </w:tabs>
      <w:spacing w:after="280"/>
      <w:contextualSpacing/>
    </w:pPr>
  </w:style>
  <w:style w:type="paragraph" w:customStyle="1" w:styleId="RulesReportClosingRespectfullysubmitted">
    <w:name w:val="Rules Report Closing (&quot;Respectfully submitted&quot;)"/>
    <w:basedOn w:val="Normal"/>
    <w:qFormat/>
    <w:rsid w:val="006E1A49"/>
    <w:pPr>
      <w:spacing w:after="560"/>
      <w:ind w:firstLine="720"/>
    </w:pPr>
  </w:style>
  <w:style w:type="paragraph" w:customStyle="1" w:styleId="RulesReportSignature">
    <w:name w:val="Rules Report Signature"/>
    <w:basedOn w:val="Normal"/>
    <w:qFormat/>
    <w:rsid w:val="006E1A49"/>
    <w:pPr>
      <w:spacing w:after="280"/>
      <w:ind w:left="5040"/>
      <w:contextualSpacing/>
    </w:pPr>
  </w:style>
  <w:style w:type="paragraph" w:customStyle="1" w:styleId="RulesText1bnoindent">
    <w:name w:val="Rules Text 1b (no indent)"/>
    <w:basedOn w:val="Normal"/>
    <w:qFormat/>
    <w:rsid w:val="005C566E"/>
    <w:pPr>
      <w:spacing w:after="280"/>
    </w:pPr>
  </w:style>
  <w:style w:type="character" w:customStyle="1" w:styleId="RulesNormalText">
    <w:name w:val="Rules Normal Text"/>
    <w:uiPriority w:val="1"/>
    <w:qFormat/>
    <w:rsid w:val="00630435"/>
    <w:rPr>
      <w:rFonts w:ascii="Times New Roman" w:hAnsi="Times New Roman"/>
    </w:rPr>
  </w:style>
  <w:style w:type="character" w:customStyle="1" w:styleId="RulesBold">
    <w:name w:val="Rules Bold"/>
    <w:uiPriority w:val="1"/>
    <w:qFormat/>
    <w:rsid w:val="00D17517"/>
    <w:rPr>
      <w:rFonts w:ascii="Times New Roman Bold" w:hAnsi="Times New Roman Bold"/>
      <w:b/>
    </w:rPr>
  </w:style>
  <w:style w:type="character" w:customStyle="1" w:styleId="RulesBoldUnderline">
    <w:name w:val="Rules Bold Underline"/>
    <w:uiPriority w:val="1"/>
    <w:qFormat/>
    <w:rsid w:val="00D17517"/>
    <w:rPr>
      <w:rFonts w:ascii="Times New Roman Bold" w:hAnsi="Times New Roman Bold"/>
      <w:b/>
      <w:u w:val="single"/>
    </w:rPr>
  </w:style>
  <w:style w:type="character" w:customStyle="1" w:styleId="RulesBoldItalic">
    <w:name w:val="Rules Bold Italic"/>
    <w:uiPriority w:val="1"/>
    <w:qFormat/>
    <w:rsid w:val="00D17517"/>
    <w:rPr>
      <w:rFonts w:ascii="Times New Roman Bold" w:hAnsi="Times New Roman Bold"/>
      <w:b/>
      <w:i/>
    </w:rPr>
  </w:style>
  <w:style w:type="character" w:customStyle="1" w:styleId="RulesBoldItalicUnderline">
    <w:name w:val="Rules Bold Italic Underline"/>
    <w:uiPriority w:val="1"/>
    <w:qFormat/>
    <w:rsid w:val="00D17517"/>
    <w:rPr>
      <w:rFonts w:ascii="Times New Roman Bold" w:hAnsi="Times New Roman Bold"/>
      <w:b/>
      <w:i/>
      <w:u w:val="single"/>
    </w:rPr>
  </w:style>
  <w:style w:type="character" w:customStyle="1" w:styleId="RulesBoldStrikethrough">
    <w:name w:val="Rules Bold Strikethrough"/>
    <w:uiPriority w:val="1"/>
    <w:qFormat/>
    <w:rsid w:val="00D17517"/>
    <w:rPr>
      <w:rFonts w:ascii="Times New Roman Bold" w:hAnsi="Times New Roman Bold"/>
      <w:b/>
      <w:strike/>
      <w:dstrike w:val="0"/>
    </w:rPr>
  </w:style>
  <w:style w:type="character" w:customStyle="1" w:styleId="RulesBoldItalicStrikethrough">
    <w:name w:val="Rules Bold Italic Strikethrough"/>
    <w:uiPriority w:val="1"/>
    <w:qFormat/>
    <w:rsid w:val="00D17517"/>
    <w:rPr>
      <w:rFonts w:ascii="Times New Roman Bold" w:hAnsi="Times New Roman Bold"/>
      <w:b/>
      <w:i/>
      <w:strike/>
      <w:dstrike w:val="0"/>
    </w:rPr>
  </w:style>
  <w:style w:type="character" w:customStyle="1" w:styleId="RulesBoldItalicStrikethroughUnderline">
    <w:name w:val="Rules Bold Italic Strikethrough Underline"/>
    <w:uiPriority w:val="1"/>
    <w:qFormat/>
    <w:rsid w:val="00D17517"/>
    <w:rPr>
      <w:rFonts w:ascii="Times New Roman Bold" w:hAnsi="Times New Roman Bold"/>
      <w:b/>
      <w:i/>
      <w:strike/>
      <w:dstrike w:val="0"/>
      <w:u w:val="single"/>
    </w:rPr>
  </w:style>
  <w:style w:type="character" w:customStyle="1" w:styleId="RulesBoldDoubleUnderline">
    <w:name w:val="Rules Bold Double Underline"/>
    <w:uiPriority w:val="1"/>
    <w:qFormat/>
    <w:rsid w:val="00D17517"/>
    <w:rPr>
      <w:rFonts w:ascii="Times New Roman Bold" w:hAnsi="Times New Roman Bold"/>
      <w:b/>
      <w:u w:val="double"/>
    </w:rPr>
  </w:style>
  <w:style w:type="character" w:customStyle="1" w:styleId="RulesBoldDoubleStrikethrough">
    <w:name w:val="Rules Bold Double Strikethrough"/>
    <w:uiPriority w:val="1"/>
    <w:qFormat/>
    <w:rsid w:val="00D17517"/>
    <w:rPr>
      <w:rFonts w:ascii="Times New Roman Bold" w:hAnsi="Times New Roman Bold"/>
      <w:b/>
      <w:strike w:val="0"/>
      <w:dstrike/>
    </w:rPr>
  </w:style>
  <w:style w:type="character" w:customStyle="1" w:styleId="RulesBoldItalicDoubleStrikethrough">
    <w:name w:val="Rules Bold Italic Double Strikethrough"/>
    <w:uiPriority w:val="1"/>
    <w:qFormat/>
    <w:rsid w:val="00D17517"/>
    <w:rPr>
      <w:rFonts w:ascii="Times New Roman Bold" w:hAnsi="Times New Roman Bold"/>
      <w:b/>
      <w:i/>
      <w:strike w:val="0"/>
      <w:dstrike/>
    </w:rPr>
  </w:style>
  <w:style w:type="character" w:customStyle="1" w:styleId="RulesBoldItalicDoubleUnderline">
    <w:name w:val="Rules Bold Italic Double Underline"/>
    <w:uiPriority w:val="1"/>
    <w:qFormat/>
    <w:rsid w:val="00D17517"/>
    <w:rPr>
      <w:rFonts w:ascii="Times New Roman Bold" w:hAnsi="Times New Roman Bold"/>
      <w:b w:val="0"/>
      <w:i w:val="0"/>
      <w:strike w:val="0"/>
      <w:dstrike w:val="0"/>
      <w:u w:val="double"/>
    </w:rPr>
  </w:style>
  <w:style w:type="character" w:customStyle="1" w:styleId="RulesUnderline">
    <w:name w:val="Rules Underline"/>
    <w:uiPriority w:val="1"/>
    <w:qFormat/>
    <w:rsid w:val="00D17517"/>
    <w:rPr>
      <w:rFonts w:ascii="Times New Roman" w:hAnsi="Times New Roman"/>
      <w:u w:val="single"/>
    </w:rPr>
  </w:style>
  <w:style w:type="character" w:customStyle="1" w:styleId="RulesItalic">
    <w:name w:val="Rules Italic"/>
    <w:uiPriority w:val="1"/>
    <w:qFormat/>
    <w:rsid w:val="00630435"/>
    <w:rPr>
      <w:rFonts w:ascii="Times New Roman" w:hAnsi="Times New Roman"/>
      <w:i/>
    </w:rPr>
  </w:style>
  <w:style w:type="character" w:customStyle="1" w:styleId="RulesStrikethrough">
    <w:name w:val="Rules Strikethrough"/>
    <w:uiPriority w:val="1"/>
    <w:qFormat/>
    <w:rsid w:val="00D17517"/>
    <w:rPr>
      <w:rFonts w:ascii="Times New Roman" w:hAnsi="Times New Roman"/>
      <w:strike/>
      <w:dstrike w:val="0"/>
    </w:rPr>
  </w:style>
  <w:style w:type="character" w:customStyle="1" w:styleId="RulesItalicStrikethrough">
    <w:name w:val="Rules Italic Strikethrough"/>
    <w:uiPriority w:val="1"/>
    <w:qFormat/>
    <w:rsid w:val="00630435"/>
    <w:rPr>
      <w:rFonts w:ascii="Times New Roman" w:hAnsi="Times New Roman"/>
      <w:i/>
      <w:strike/>
      <w:dstrike w:val="0"/>
    </w:rPr>
  </w:style>
  <w:style w:type="character" w:customStyle="1" w:styleId="RulesItalicUnderline">
    <w:name w:val="Rules Italic Underline"/>
    <w:uiPriority w:val="1"/>
    <w:qFormat/>
    <w:rsid w:val="00630435"/>
    <w:rPr>
      <w:rFonts w:ascii="Times New Roman" w:hAnsi="Times New Roman"/>
      <w:i/>
      <w:u w:val="single"/>
    </w:rPr>
  </w:style>
  <w:style w:type="character" w:customStyle="1" w:styleId="RulesItalicDoubleStrikethrough">
    <w:name w:val="Rules Italic Double Strikethrough"/>
    <w:uiPriority w:val="1"/>
    <w:qFormat/>
    <w:rsid w:val="00630435"/>
    <w:rPr>
      <w:rFonts w:ascii="Times New Roman" w:hAnsi="Times New Roman"/>
      <w:i/>
      <w:strike w:val="0"/>
      <w:dstrike/>
    </w:rPr>
  </w:style>
  <w:style w:type="character" w:customStyle="1" w:styleId="RulesItalicDoubleUnderline">
    <w:name w:val="Rules Italic Double Underline"/>
    <w:uiPriority w:val="1"/>
    <w:qFormat/>
    <w:rsid w:val="00630435"/>
    <w:rPr>
      <w:rFonts w:ascii="Times New Roman" w:hAnsi="Times New Roman"/>
      <w:i/>
      <w:u w:val="double"/>
    </w:rPr>
  </w:style>
  <w:style w:type="character" w:customStyle="1" w:styleId="RulesDoubleStrikethrough">
    <w:name w:val="Rules Double Strikethrough"/>
    <w:uiPriority w:val="1"/>
    <w:qFormat/>
    <w:rsid w:val="00D17517"/>
    <w:rPr>
      <w:rFonts w:ascii="Times New Roman" w:hAnsi="Times New Roman"/>
      <w:strike w:val="0"/>
      <w:dstrike/>
    </w:rPr>
  </w:style>
  <w:style w:type="character" w:customStyle="1" w:styleId="RulesDoubleUnderline">
    <w:name w:val="Rules Double Underline"/>
    <w:uiPriority w:val="1"/>
    <w:qFormat/>
    <w:rsid w:val="00D17517"/>
    <w:rPr>
      <w:rFonts w:ascii="Times New Roman" w:hAnsi="Times New Roman"/>
      <w:u w:val="double"/>
    </w:rPr>
  </w:style>
  <w:style w:type="character" w:customStyle="1" w:styleId="RulesStrikethroughUnderline">
    <w:name w:val="Rules Strikethrough Underline"/>
    <w:uiPriority w:val="1"/>
    <w:qFormat/>
    <w:rsid w:val="00D17517"/>
    <w:rPr>
      <w:rFonts w:ascii="Times New Roman" w:hAnsi="Times New Roman"/>
      <w:strike/>
      <w:dstrike w:val="0"/>
      <w:u w:val="single"/>
    </w:rPr>
  </w:style>
  <w:style w:type="character" w:customStyle="1" w:styleId="RulesDoubleStrikethroughDoubleUnderline">
    <w:name w:val="Rules Double Strikethrough Double Underline"/>
    <w:uiPriority w:val="1"/>
    <w:qFormat/>
    <w:rsid w:val="00D17517"/>
    <w:rPr>
      <w:rFonts w:ascii="Times New Roman" w:hAnsi="Times New Roman"/>
      <w:strike w:val="0"/>
      <w:dstrike/>
      <w:u w:val="double"/>
    </w:rPr>
  </w:style>
  <w:style w:type="character" w:customStyle="1" w:styleId="RulesItalicDoubleStrikethroughDoubleUnderline">
    <w:name w:val="Rules Italic Double Strikethrough Double Underline"/>
    <w:uiPriority w:val="1"/>
    <w:qFormat/>
    <w:rsid w:val="00630435"/>
    <w:rPr>
      <w:rFonts w:ascii="Times New Roman" w:hAnsi="Times New Roman"/>
      <w:i/>
      <w:strike w:val="0"/>
      <w:dstrike/>
      <w:u w:val="double"/>
    </w:rPr>
  </w:style>
  <w:style w:type="character" w:customStyle="1" w:styleId="RulesItalicStrikethroughUnderline">
    <w:name w:val="Rules Italic Strikethrough Underline"/>
    <w:uiPriority w:val="1"/>
    <w:qFormat/>
    <w:rsid w:val="00630435"/>
    <w:rPr>
      <w:i/>
      <w:strike/>
      <w:dstrike w:val="0"/>
      <w:u w:val="single"/>
    </w:rPr>
  </w:style>
  <w:style w:type="character" w:customStyle="1" w:styleId="RulesBoldStrikethroughUnderline">
    <w:name w:val="Rules Bold Strikethrough Underline"/>
    <w:uiPriority w:val="1"/>
    <w:qFormat/>
    <w:rsid w:val="00D17517"/>
    <w:rPr>
      <w:rFonts w:ascii="Times New Roman Bold" w:hAnsi="Times New Roman Bold"/>
      <w:b/>
      <w:i/>
      <w:strike w:val="0"/>
      <w:dstrike w:val="0"/>
      <w:u w:val="single"/>
    </w:rPr>
  </w:style>
  <w:style w:type="character" w:customStyle="1" w:styleId="RulesBoldDoubleStrikethroughDoubleUnderline">
    <w:name w:val="Rules Bold Double Strikethrough Double Underline"/>
    <w:uiPriority w:val="1"/>
    <w:qFormat/>
    <w:rsid w:val="00D17517"/>
    <w:rPr>
      <w:rFonts w:ascii="Times New Roman Bold" w:hAnsi="Times New Roman Bold"/>
      <w:b/>
      <w:strike w:val="0"/>
      <w:dstrike/>
      <w:u w:val="double"/>
    </w:rPr>
  </w:style>
  <w:style w:type="character" w:customStyle="1" w:styleId="RulesBoldItalicDoubleStrikethroughDoubleUnderline">
    <w:name w:val="Rules Bold Italic Double Strikethrough Double Underline"/>
    <w:uiPriority w:val="1"/>
    <w:qFormat/>
    <w:rsid w:val="00D17517"/>
    <w:rPr>
      <w:rFonts w:ascii="Times New Roman Bold" w:hAnsi="Times New Roman Bold"/>
      <w:b/>
      <w:i/>
      <w:strike w:val="0"/>
      <w:dstrike/>
      <w:u w:val="double"/>
    </w:rPr>
  </w:style>
  <w:style w:type="paragraph" w:customStyle="1" w:styleId="RulesText1b12pt">
    <w:name w:val="Rules Text 1b (12 pt)"/>
    <w:basedOn w:val="Normal"/>
    <w:qFormat/>
    <w:rsid w:val="004E4E55"/>
    <w:pPr>
      <w:spacing w:after="240"/>
    </w:pPr>
    <w:rPr>
      <w:sz w:val="24"/>
    </w:rPr>
  </w:style>
  <w:style w:type="character" w:customStyle="1" w:styleId="Heading2Char">
    <w:name w:val="Heading 2 Char"/>
    <w:basedOn w:val="DefaultParagraphFont"/>
    <w:link w:val="Heading2"/>
    <w:uiPriority w:val="9"/>
    <w:semiHidden/>
    <w:rsid w:val="00252AB0"/>
    <w:rPr>
      <w:rFonts w:asciiTheme="majorHAnsi" w:eastAsiaTheme="majorEastAsia" w:hAnsiTheme="majorHAnsi" w:cstheme="majorBidi"/>
      <w:b/>
      <w:bCs/>
      <w:color w:val="4F81BD" w:themeColor="accent1"/>
      <w:sz w:val="26"/>
      <w:szCs w:val="26"/>
    </w:rPr>
  </w:style>
  <w:style w:type="paragraph" w:customStyle="1" w:styleId="RulesText212pt">
    <w:name w:val="Rules Text 2 (12 pt)"/>
    <w:basedOn w:val="Normal"/>
    <w:qFormat/>
    <w:rsid w:val="00852874"/>
    <w:pPr>
      <w:spacing w:after="240"/>
      <w:ind w:firstLine="1440"/>
    </w:pPr>
    <w:rPr>
      <w:sz w:val="24"/>
    </w:rPr>
  </w:style>
  <w:style w:type="paragraph" w:customStyle="1" w:styleId="RulesText312pt">
    <w:name w:val="Rules Text 3 (12 pt)"/>
    <w:basedOn w:val="Normal"/>
    <w:qFormat/>
    <w:rsid w:val="00852874"/>
    <w:pPr>
      <w:spacing w:after="240"/>
      <w:ind w:firstLine="2160"/>
    </w:pPr>
    <w:rPr>
      <w:sz w:val="24"/>
    </w:rPr>
  </w:style>
  <w:style w:type="paragraph" w:customStyle="1" w:styleId="RulesText412pt">
    <w:name w:val="Rules Text 4 (12 pt)"/>
    <w:basedOn w:val="Normal"/>
    <w:qFormat/>
    <w:rsid w:val="00852874"/>
    <w:pPr>
      <w:spacing w:after="240"/>
      <w:ind w:firstLine="2880"/>
    </w:pPr>
    <w:rPr>
      <w:sz w:val="24"/>
    </w:rPr>
  </w:style>
  <w:style w:type="paragraph" w:customStyle="1" w:styleId="RulesText512pt">
    <w:name w:val="Rules Text 5 (12 pt)"/>
    <w:basedOn w:val="Normal"/>
    <w:qFormat/>
    <w:rsid w:val="00852874"/>
    <w:pPr>
      <w:spacing w:after="240"/>
      <w:ind w:firstLine="3600"/>
    </w:pPr>
    <w:rPr>
      <w:sz w:val="24"/>
    </w:rPr>
  </w:style>
  <w:style w:type="character" w:customStyle="1" w:styleId="test">
    <w:name w:val="test"/>
    <w:basedOn w:val="RulesBoldDoubleStrikethrough"/>
    <w:uiPriority w:val="1"/>
    <w:semiHidden/>
    <w:qFormat/>
    <w:rsid w:val="00B54AB4"/>
    <w:rPr>
      <w:rFonts w:ascii="Times New Roman Bold" w:hAnsi="Times New Roman Bold"/>
      <w:b/>
      <w:strike w:val="0"/>
      <w:dstrike/>
      <w:sz w:val="28"/>
    </w:rPr>
  </w:style>
  <w:style w:type="character" w:customStyle="1" w:styleId="RulesDoubleStrikethroughUnderline">
    <w:name w:val="Rules Double Strikethrough Underline"/>
    <w:uiPriority w:val="1"/>
    <w:qFormat/>
    <w:rsid w:val="00D17517"/>
    <w:rPr>
      <w:rFonts w:ascii="Times New Roman" w:hAnsi="Times New Roman"/>
      <w:strike w:val="0"/>
      <w:dstrike/>
      <w:u w:val="single"/>
    </w:rPr>
  </w:style>
  <w:style w:type="paragraph" w:customStyle="1" w:styleId="RuleForms1TabOver">
    <w:name w:val="RuleForms 1&quot; Tab Over"/>
    <w:basedOn w:val="Normal"/>
    <w:qFormat/>
    <w:rsid w:val="00C01AA3"/>
    <w:pPr>
      <w:spacing w:after="160"/>
      <w:ind w:left="1440"/>
    </w:pPr>
    <w:rPr>
      <w:rFonts w:cs="Times New Roman"/>
      <w:sz w:val="24"/>
      <w:szCs w:val="28"/>
    </w:rPr>
  </w:style>
  <w:style w:type="paragraph" w:customStyle="1" w:styleId="RuleForms1stLine5Indent">
    <w:name w:val="RuleForms 1st Line .5&quot; Indent"/>
    <w:basedOn w:val="Normal"/>
    <w:qFormat/>
    <w:rsid w:val="00C01AA3"/>
    <w:pPr>
      <w:spacing w:after="0" w:line="360" w:lineRule="auto"/>
      <w:ind w:firstLine="720"/>
    </w:pPr>
    <w:rPr>
      <w:rFonts w:eastAsia="Calibri" w:cs="Times New Roman"/>
      <w:sz w:val="24"/>
    </w:rPr>
  </w:style>
  <w:style w:type="paragraph" w:customStyle="1" w:styleId="RuleForms2TabOver">
    <w:name w:val="RuleForms 2&quot; Tab Over"/>
    <w:basedOn w:val="Normal"/>
    <w:qFormat/>
    <w:rsid w:val="00C01AA3"/>
    <w:pPr>
      <w:spacing w:after="160" w:line="259" w:lineRule="auto"/>
      <w:ind w:left="2880"/>
    </w:pPr>
    <w:rPr>
      <w:rFonts w:cs="Times New Roman"/>
      <w:sz w:val="24"/>
      <w:szCs w:val="28"/>
    </w:rPr>
  </w:style>
  <w:style w:type="paragraph" w:customStyle="1" w:styleId="RuleForms3TabOver">
    <w:name w:val="RuleForms 3&quot; Tab Over"/>
    <w:basedOn w:val="Normal"/>
    <w:qFormat/>
    <w:rsid w:val="00C01AA3"/>
    <w:pPr>
      <w:spacing w:after="160" w:line="259" w:lineRule="auto"/>
      <w:ind w:left="4320"/>
    </w:pPr>
    <w:rPr>
      <w:rFonts w:cs="Times New Roman"/>
      <w:sz w:val="24"/>
      <w:szCs w:val="28"/>
    </w:rPr>
  </w:style>
  <w:style w:type="paragraph" w:customStyle="1" w:styleId="RuleForms35TabOver">
    <w:name w:val="RuleForms 3.5&quot; Tab Over"/>
    <w:basedOn w:val="Normal"/>
    <w:qFormat/>
    <w:rsid w:val="00C01AA3"/>
    <w:pPr>
      <w:spacing w:after="160" w:line="259" w:lineRule="auto"/>
      <w:ind w:left="5040"/>
    </w:pPr>
    <w:rPr>
      <w:rFonts w:cs="Times New Roman"/>
      <w:sz w:val="24"/>
      <w:szCs w:val="28"/>
    </w:rPr>
  </w:style>
  <w:style w:type="paragraph" w:customStyle="1" w:styleId="RuleForms4TabOver">
    <w:name w:val="RuleForms 4&quot; Tab Over"/>
    <w:basedOn w:val="Normal"/>
    <w:qFormat/>
    <w:rsid w:val="00C01AA3"/>
    <w:pPr>
      <w:spacing w:after="160" w:line="259" w:lineRule="auto"/>
      <w:ind w:left="5760"/>
    </w:pPr>
    <w:rPr>
      <w:rFonts w:cs="Times New Roman"/>
      <w:sz w:val="24"/>
      <w:szCs w:val="28"/>
    </w:rPr>
  </w:style>
  <w:style w:type="paragraph" w:customStyle="1" w:styleId="RuleForms45TabOver">
    <w:name w:val="RuleForms 4.5&quot; Tab Over"/>
    <w:basedOn w:val="Normal"/>
    <w:qFormat/>
    <w:rsid w:val="00C01AA3"/>
    <w:pPr>
      <w:spacing w:after="160" w:line="259" w:lineRule="auto"/>
      <w:ind w:left="6480"/>
    </w:pPr>
    <w:rPr>
      <w:rFonts w:cs="Times New Roman"/>
      <w:sz w:val="24"/>
      <w:szCs w:val="28"/>
    </w:rPr>
  </w:style>
  <w:style w:type="character" w:customStyle="1" w:styleId="RuleFormsAllCapsBold">
    <w:name w:val="RuleForms All Caps Bold"/>
    <w:uiPriority w:val="1"/>
    <w:qFormat/>
    <w:rsid w:val="00C01AA3"/>
    <w:rPr>
      <w:b/>
      <w:caps/>
      <w:smallCaps w:val="0"/>
      <w:color w:val="auto"/>
    </w:rPr>
  </w:style>
  <w:style w:type="character" w:customStyle="1" w:styleId="RuleFormsAllUpper">
    <w:name w:val="RuleForms All Upper"/>
    <w:uiPriority w:val="1"/>
    <w:qFormat/>
    <w:rsid w:val="00C01AA3"/>
    <w:rPr>
      <w:caps/>
      <w:smallCaps w:val="0"/>
    </w:rPr>
  </w:style>
  <w:style w:type="character" w:customStyle="1" w:styleId="RuleFormsBold">
    <w:name w:val="RuleForms Bold"/>
    <w:uiPriority w:val="1"/>
    <w:qFormat/>
    <w:rsid w:val="00C01AA3"/>
    <w:rPr>
      <w:rFonts w:ascii="Times New Roman Bold" w:hAnsi="Times New Roman Bold"/>
      <w:b/>
      <w:sz w:val="24"/>
    </w:rPr>
  </w:style>
  <w:style w:type="character" w:customStyle="1" w:styleId="RuleFormsBoldItalic">
    <w:name w:val="RuleForms Bold Italic"/>
    <w:uiPriority w:val="1"/>
    <w:qFormat/>
    <w:rsid w:val="00C01AA3"/>
    <w:rPr>
      <w:b/>
      <w:i/>
    </w:rPr>
  </w:style>
  <w:style w:type="character" w:customStyle="1" w:styleId="RuleFormsboldstrikethrough">
    <w:name w:val="RuleForms bold strike through"/>
    <w:uiPriority w:val="1"/>
    <w:qFormat/>
    <w:rsid w:val="00C01AA3"/>
    <w:rPr>
      <w:b/>
      <w:strike/>
      <w:dstrike w:val="0"/>
    </w:rPr>
  </w:style>
  <w:style w:type="character" w:customStyle="1" w:styleId="RuleFormsBoldUpperUnderline">
    <w:name w:val="RuleForms Bold Upper Underline"/>
    <w:uiPriority w:val="1"/>
    <w:qFormat/>
    <w:rsid w:val="00C01AA3"/>
    <w:rPr>
      <w:rFonts w:ascii="Times New Roman Bold" w:hAnsi="Times New Roman Bold"/>
      <w:b/>
      <w:caps/>
      <w:sz w:val="24"/>
      <w:szCs w:val="22"/>
      <w:u w:val="single"/>
    </w:rPr>
  </w:style>
  <w:style w:type="paragraph" w:customStyle="1" w:styleId="RuleFormsCenter">
    <w:name w:val="RuleForms Center"/>
    <w:basedOn w:val="Normal"/>
    <w:qFormat/>
    <w:rsid w:val="00C01AA3"/>
    <w:pPr>
      <w:spacing w:after="0" w:line="360" w:lineRule="auto"/>
      <w:jc w:val="center"/>
    </w:pPr>
    <w:rPr>
      <w:rFonts w:eastAsia="Calibri" w:cs="Times New Roman"/>
      <w:sz w:val="24"/>
    </w:rPr>
  </w:style>
  <w:style w:type="paragraph" w:customStyle="1" w:styleId="RuleFormsCenter12ptLineSpace">
    <w:name w:val="RuleForms Center 12pt Line Space"/>
    <w:basedOn w:val="Normal"/>
    <w:qFormat/>
    <w:rsid w:val="00C01AA3"/>
    <w:pPr>
      <w:spacing w:before="240" w:after="240" w:line="259" w:lineRule="auto"/>
      <w:jc w:val="center"/>
    </w:pPr>
    <w:rPr>
      <w:rFonts w:cs="Times New Roman"/>
      <w:sz w:val="24"/>
      <w:szCs w:val="28"/>
    </w:rPr>
  </w:style>
  <w:style w:type="character" w:customStyle="1" w:styleId="RuleFormsdoubleunderline">
    <w:name w:val="RuleForms double underline"/>
    <w:uiPriority w:val="1"/>
    <w:qFormat/>
    <w:rsid w:val="00C01AA3"/>
    <w:rPr>
      <w:rFonts w:ascii="Times New Roman" w:hAnsi="Times New Roman"/>
      <w:strike w:val="0"/>
      <w:dstrike w:val="0"/>
      <w:sz w:val="24"/>
      <w:u w:val="double"/>
    </w:rPr>
  </w:style>
  <w:style w:type="character" w:customStyle="1" w:styleId="RuleFormsFont">
    <w:name w:val="RuleForms Font"/>
    <w:uiPriority w:val="1"/>
    <w:qFormat/>
    <w:rsid w:val="00C01AA3"/>
    <w:rPr>
      <w:rFonts w:ascii="Times New Roman" w:hAnsi="Times New Roman"/>
      <w:strike w:val="0"/>
      <w:dstrike w:val="0"/>
      <w:sz w:val="24"/>
    </w:rPr>
  </w:style>
  <w:style w:type="paragraph" w:customStyle="1" w:styleId="RuleFormsNoLineSpace">
    <w:name w:val="RuleForms No Line Space"/>
    <w:basedOn w:val="Normal"/>
    <w:qFormat/>
    <w:rsid w:val="00C01AA3"/>
    <w:pPr>
      <w:spacing w:after="0"/>
    </w:pPr>
    <w:rPr>
      <w:rFonts w:eastAsia="Calibri" w:cs="Times New Roman"/>
      <w:sz w:val="24"/>
    </w:rPr>
  </w:style>
  <w:style w:type="paragraph" w:customStyle="1" w:styleId="RuleFormsNormalParagraph">
    <w:name w:val="RuleForms Normal Paragraph"/>
    <w:qFormat/>
    <w:rsid w:val="00C01AA3"/>
    <w:pPr>
      <w:spacing w:after="0" w:line="360" w:lineRule="auto"/>
    </w:pPr>
    <w:rPr>
      <w:rFonts w:ascii="Times New Roman" w:eastAsia="Calibri" w:hAnsi="Times New Roman" w:cs="Times New Roman"/>
      <w:sz w:val="24"/>
    </w:rPr>
  </w:style>
  <w:style w:type="paragraph" w:customStyle="1" w:styleId="RuleFormsSignatureLinewithText">
    <w:name w:val="RuleForms Signature Line with Text"/>
    <w:basedOn w:val="Normal"/>
    <w:qFormat/>
    <w:rsid w:val="00C01AA3"/>
    <w:pPr>
      <w:pBdr>
        <w:top w:val="single" w:sz="4" w:space="1" w:color="auto"/>
      </w:pBdr>
      <w:spacing w:after="160" w:line="259" w:lineRule="auto"/>
      <w:ind w:left="4320"/>
    </w:pPr>
    <w:rPr>
      <w:rFonts w:cs="Times New Roman"/>
      <w:sz w:val="24"/>
      <w:szCs w:val="28"/>
    </w:rPr>
  </w:style>
  <w:style w:type="character" w:customStyle="1" w:styleId="RuleFormsStrikethrough">
    <w:name w:val="RuleForms Strike through"/>
    <w:uiPriority w:val="1"/>
    <w:qFormat/>
    <w:rsid w:val="00C01AA3"/>
    <w:rPr>
      <w:rFonts w:ascii="Times New Roman" w:hAnsi="Times New Roman"/>
      <w:strike/>
      <w:dstrike w:val="0"/>
      <w:sz w:val="24"/>
    </w:rPr>
  </w:style>
  <w:style w:type="character" w:customStyle="1" w:styleId="RuleFormsunderline">
    <w:name w:val="RuleForms underline"/>
    <w:uiPriority w:val="1"/>
    <w:qFormat/>
    <w:rsid w:val="00C01AA3"/>
    <w:rPr>
      <w:rFonts w:ascii="Times New Roman" w:hAnsi="Times New Roman"/>
      <w:b w:val="0"/>
      <w:sz w:val="24"/>
      <w:u w:val="single"/>
    </w:rPr>
  </w:style>
  <w:style w:type="paragraph" w:customStyle="1" w:styleId="SJIText1">
    <w:name w:val="SJI Text 1"/>
    <w:basedOn w:val="Normal"/>
    <w:qFormat/>
    <w:rsid w:val="00E4171F"/>
    <w:pPr>
      <w:widowControl w:val="0"/>
      <w:suppressAutoHyphens/>
      <w:spacing w:after="280"/>
      <w:ind w:firstLine="720"/>
    </w:pPr>
    <w:rPr>
      <w:szCs w:val="28"/>
    </w:rPr>
  </w:style>
  <w:style w:type="paragraph" w:customStyle="1" w:styleId="SJICenter1">
    <w:name w:val="SJI Center 1"/>
    <w:basedOn w:val="Normal"/>
    <w:qFormat/>
    <w:rsid w:val="00E4171F"/>
    <w:pPr>
      <w:spacing w:before="280" w:after="280"/>
      <w:jc w:val="center"/>
    </w:pPr>
    <w:rPr>
      <w:szCs w:val="28"/>
    </w:rPr>
  </w:style>
  <w:style w:type="paragraph" w:customStyle="1" w:styleId="SJITitle1">
    <w:name w:val="SJI Title 1"/>
    <w:basedOn w:val="Heading1"/>
    <w:qFormat/>
    <w:rsid w:val="00E4171F"/>
    <w:pPr>
      <w:spacing w:before="360" w:after="240"/>
      <w:jc w:val="center"/>
    </w:pPr>
    <w:rPr>
      <w:rFonts w:ascii="Times New Roman Bold" w:hAnsi="Times New Roman Bold"/>
      <w:caps/>
      <w:color w:val="auto"/>
    </w:rPr>
  </w:style>
  <w:style w:type="character" w:customStyle="1" w:styleId="SJINormalText">
    <w:name w:val="SJI Normal Text"/>
    <w:basedOn w:val="DefaultParagraphFont"/>
    <w:uiPriority w:val="1"/>
    <w:qFormat/>
    <w:rsid w:val="00E4171F"/>
    <w:rPr>
      <w:rFonts w:ascii="Times New Roman" w:hAnsi="Times New Roman"/>
      <w:sz w:val="28"/>
    </w:rPr>
  </w:style>
  <w:style w:type="character" w:customStyle="1" w:styleId="SJIBold">
    <w:name w:val="SJI Bold"/>
    <w:basedOn w:val="SJINormalText"/>
    <w:uiPriority w:val="1"/>
    <w:qFormat/>
    <w:rsid w:val="00E4171F"/>
    <w:rPr>
      <w:rFonts w:ascii="Times New Roman" w:hAnsi="Times New Roman"/>
      <w:b/>
      <w:sz w:val="28"/>
    </w:rPr>
  </w:style>
  <w:style w:type="character" w:customStyle="1" w:styleId="SJIItalic">
    <w:name w:val="SJI Italic"/>
    <w:basedOn w:val="SJINormalText"/>
    <w:uiPriority w:val="1"/>
    <w:qFormat/>
    <w:rsid w:val="00E4171F"/>
    <w:rPr>
      <w:rFonts w:ascii="Times New Roman" w:hAnsi="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4173</Characters>
  <Application>Microsoft Office Word</Application>
  <DocSecurity>0</DocSecurity>
  <Lines>83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Telfer, Heather</dc:creator>
  <cp:keywords/>
  <dc:description/>
  <cp:lastModifiedBy>Godwin, Krys</cp:lastModifiedBy>
  <cp:revision>2</cp:revision>
  <dcterms:created xsi:type="dcterms:W3CDTF">2017-04-12T14:35:00Z</dcterms:created>
  <dcterms:modified xsi:type="dcterms:W3CDTF">2022-04-01T21:09:00Z</dcterms:modified>
</cp:coreProperties>
</file>