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2EA9" w14:textId="77777777" w:rsidR="00D632F3" w:rsidRPr="003A0ABC" w:rsidRDefault="00D632F3" w:rsidP="00D632F3">
      <w:pPr>
        <w:pStyle w:val="Heading3"/>
      </w:pPr>
      <w:bookmarkStart w:id="0" w:name="_Toc109650884"/>
      <w:bookmarkStart w:id="1" w:name="_Toc110240209"/>
      <w:bookmarkStart w:id="2" w:name="_Toc110933953"/>
      <w:r w:rsidRPr="003A0ABC">
        <w:t>28.5 RECKLESS DRIVING</w:t>
      </w:r>
      <w:bookmarkEnd w:id="0"/>
      <w:bookmarkEnd w:id="1"/>
      <w:bookmarkEnd w:id="2"/>
    </w:p>
    <w:p w14:paraId="740F0998" w14:textId="77777777" w:rsidR="00D632F3" w:rsidRPr="003A0ABC" w:rsidRDefault="00D632F3" w:rsidP="00D632F3">
      <w:pPr>
        <w:pStyle w:val="SJIStatuteinTitle"/>
      </w:pPr>
      <w:r w:rsidRPr="003A0ABC">
        <w:t>§ 316.192(1)(a) and (1)(b), Fla. Stat.</w:t>
      </w:r>
    </w:p>
    <w:p w14:paraId="7FF00453" w14:textId="77777777" w:rsidR="00D632F3" w:rsidRPr="003A0ABC" w:rsidRDefault="00D632F3" w:rsidP="00D632F3">
      <w:pPr>
        <w:tabs>
          <w:tab w:val="left" w:pos="720"/>
        </w:tabs>
        <w:suppressAutoHyphens/>
        <w:rPr>
          <w:i/>
          <w:color w:val="000000"/>
        </w:rPr>
      </w:pPr>
      <w:r w:rsidRPr="003A0ABC">
        <w:rPr>
          <w:b/>
          <w:bCs/>
          <w:color w:val="000000"/>
        </w:rPr>
        <w:t>To prove the crime of Reckless Driving, the State must prove the following beyond a reasonable doubt:</w:t>
      </w:r>
    </w:p>
    <w:p w14:paraId="35E2EAF3" w14:textId="77777777" w:rsidR="00D632F3" w:rsidRPr="003A0ABC" w:rsidRDefault="00D632F3" w:rsidP="00D632F3">
      <w:pPr>
        <w:pStyle w:val="SJITextItalic"/>
      </w:pPr>
      <w:r w:rsidRPr="003A0ABC">
        <w:t xml:space="preserve">Give if § 316.192(1)(a), Fla. Stat. is charged. </w:t>
      </w:r>
    </w:p>
    <w:p w14:paraId="5D5C3D6C" w14:textId="77777777" w:rsidR="00D632F3" w:rsidRPr="00C552F6" w:rsidRDefault="00D632F3" w:rsidP="00D632F3">
      <w:pPr>
        <w:pStyle w:val="SJIText"/>
        <w:rPr>
          <w:b/>
          <w:bCs/>
        </w:rPr>
      </w:pPr>
      <w:r w:rsidRPr="003A0ABC">
        <w:t xml:space="preserve">(Defendant) </w:t>
      </w:r>
      <w:r w:rsidRPr="00C552F6">
        <w:rPr>
          <w:b/>
          <w:bCs/>
        </w:rPr>
        <w:t>drove a vehicle in Florida with a willful or wanton disregard for the safety of persons or property.</w:t>
      </w:r>
    </w:p>
    <w:p w14:paraId="36AD4D93" w14:textId="77777777" w:rsidR="00D632F3" w:rsidRPr="003A0ABC" w:rsidRDefault="00D632F3" w:rsidP="00D632F3">
      <w:pPr>
        <w:pStyle w:val="SJITextItalic"/>
      </w:pPr>
      <w:r w:rsidRPr="003A0ABC">
        <w:rPr>
          <w:bCs/>
        </w:rPr>
        <w:t xml:space="preserve">Give if </w:t>
      </w:r>
      <w:r w:rsidRPr="003A0ABC">
        <w:t>§ 316.192(1)(b), Fla. Stat. is charged.</w:t>
      </w:r>
    </w:p>
    <w:p w14:paraId="3185C51D" w14:textId="77777777" w:rsidR="00D632F3" w:rsidRPr="003A0ABC" w:rsidRDefault="00D632F3" w:rsidP="00D632F3">
      <w:pPr>
        <w:tabs>
          <w:tab w:val="left" w:pos="0"/>
        </w:tabs>
        <w:suppressAutoHyphens/>
        <w:rPr>
          <w:b/>
          <w:bCs/>
          <w:color w:val="000000"/>
        </w:rPr>
      </w:pPr>
      <w:r w:rsidRPr="00C552F6">
        <w:rPr>
          <w:color w:val="000000"/>
        </w:rPr>
        <w:t>(Defendant)</w:t>
      </w:r>
      <w:r w:rsidRPr="003A0ABC">
        <w:rPr>
          <w:b/>
          <w:bCs/>
          <w:color w:val="000000"/>
        </w:rPr>
        <w:t>, while driving a motor vehicle, fled from a law enforcement</w:t>
      </w:r>
      <w:r>
        <w:rPr>
          <w:b/>
          <w:bCs/>
          <w:color w:val="000000"/>
        </w:rPr>
        <w:t xml:space="preserve"> </w:t>
      </w:r>
      <w:r w:rsidRPr="003A0ABC">
        <w:rPr>
          <w:b/>
          <w:bCs/>
          <w:color w:val="000000"/>
        </w:rPr>
        <w:t xml:space="preserve">officer. </w:t>
      </w:r>
    </w:p>
    <w:p w14:paraId="73E7B2AA" w14:textId="77777777" w:rsidR="00D632F3" w:rsidRPr="003A0ABC" w:rsidRDefault="00D632F3" w:rsidP="00D632F3">
      <w:pPr>
        <w:pStyle w:val="SJITextItalic"/>
      </w:pPr>
      <w:r w:rsidRPr="003A0ABC">
        <w:t>Give if applicable. § 316.192(3), Fla. Stat.</w:t>
      </w:r>
    </w:p>
    <w:p w14:paraId="1ABE0864" w14:textId="77777777" w:rsidR="00D632F3" w:rsidRPr="003A0ABC" w:rsidRDefault="00D632F3" w:rsidP="00D632F3">
      <w:pPr>
        <w:tabs>
          <w:tab w:val="left" w:pos="720"/>
        </w:tabs>
        <w:suppressAutoHyphens/>
        <w:spacing w:after="240"/>
        <w:rPr>
          <w:b/>
          <w:iCs/>
          <w:color w:val="000000"/>
        </w:rPr>
      </w:pPr>
      <w:r w:rsidRPr="003A0ABC">
        <w:rPr>
          <w:b/>
          <w:iCs/>
          <w:color w:val="000000"/>
        </w:rPr>
        <w:t xml:space="preserve">If you find </w:t>
      </w:r>
      <w:r w:rsidRPr="003A0ABC">
        <w:rPr>
          <w:iCs/>
          <w:color w:val="000000"/>
        </w:rPr>
        <w:t>(defendant)</w:t>
      </w:r>
      <w:r w:rsidRPr="003A0ABC">
        <w:rPr>
          <w:b/>
          <w:iCs/>
          <w:color w:val="000000"/>
        </w:rPr>
        <w:t xml:space="preserve"> guilty of Reckless Driving, you must also determine whether the State has proven beyond a reasonable doubt that [he] [she] caused [damage to the [property] [or] [person] of another] [or] [serious bodily injury to another] </w:t>
      </w:r>
      <w:proofErr w:type="gramStart"/>
      <w:r w:rsidRPr="003A0ABC">
        <w:rPr>
          <w:b/>
          <w:iCs/>
          <w:color w:val="000000"/>
        </w:rPr>
        <w:t>as a result of</w:t>
      </w:r>
      <w:proofErr w:type="gramEnd"/>
      <w:r w:rsidRPr="003A0ABC">
        <w:rPr>
          <w:b/>
          <w:iCs/>
          <w:color w:val="000000"/>
        </w:rPr>
        <w:t xml:space="preserve"> operating the vehicle recklessly. </w:t>
      </w:r>
    </w:p>
    <w:p w14:paraId="075495B6" w14:textId="77777777" w:rsidR="00D632F3" w:rsidRPr="001944BB" w:rsidRDefault="00D632F3" w:rsidP="00D632F3">
      <w:pPr>
        <w:pStyle w:val="SJITextItalic"/>
        <w:rPr>
          <w:strike/>
        </w:rPr>
      </w:pPr>
      <w:r w:rsidRPr="001944BB">
        <w:t>Definitions. Give if applicable.</w:t>
      </w:r>
      <w:r w:rsidRPr="001944BB">
        <w:rPr>
          <w:strike/>
        </w:rPr>
        <w:t xml:space="preserve"> </w:t>
      </w:r>
    </w:p>
    <w:p w14:paraId="53000F21" w14:textId="77777777" w:rsidR="00D632F3" w:rsidRPr="003A0ABC" w:rsidRDefault="00D632F3" w:rsidP="00D632F3">
      <w:pPr>
        <w:pStyle w:val="SJITextItalic"/>
      </w:pPr>
      <w:r w:rsidRPr="003A0ABC">
        <w:t>W.E.B. v. State, 553 So. 2d 323 (Fla. 1st DCA 1989).</w:t>
      </w:r>
    </w:p>
    <w:p w14:paraId="44513EAD" w14:textId="6D079E3B" w:rsidR="00D632F3" w:rsidRPr="003A0ABC" w:rsidRDefault="00D632F3" w:rsidP="00D632F3">
      <w:pPr>
        <w:tabs>
          <w:tab w:val="left" w:pos="720"/>
        </w:tabs>
        <w:suppressAutoHyphens/>
        <w:rPr>
          <w:b/>
          <w:bCs/>
          <w:color w:val="000000"/>
        </w:rPr>
      </w:pPr>
      <w:r w:rsidRPr="003A0ABC">
        <w:rPr>
          <w:b/>
          <w:bCs/>
          <w:color w:val="000000"/>
        </w:rPr>
        <w:t>“Willful” means intentionally, knowingly</w:t>
      </w:r>
      <w:r w:rsidR="00A623B7" w:rsidRPr="003D0049">
        <w:rPr>
          <w:b/>
          <w:bCs/>
          <w:color w:val="000000"/>
        </w:rPr>
        <w:t>,</w:t>
      </w:r>
      <w:r w:rsidRPr="003A0ABC">
        <w:rPr>
          <w:b/>
          <w:bCs/>
          <w:color w:val="000000"/>
        </w:rPr>
        <w:t xml:space="preserve"> and purposely.</w:t>
      </w:r>
    </w:p>
    <w:p w14:paraId="7BDE5CF1" w14:textId="77777777" w:rsidR="00D632F3" w:rsidRPr="003A0ABC" w:rsidRDefault="00D632F3" w:rsidP="00D632F3">
      <w:pPr>
        <w:tabs>
          <w:tab w:val="left" w:pos="720"/>
        </w:tabs>
        <w:suppressAutoHyphens/>
        <w:rPr>
          <w:b/>
          <w:bCs/>
          <w:color w:val="000000"/>
        </w:rPr>
      </w:pPr>
      <w:r w:rsidRPr="003A0ABC">
        <w:rPr>
          <w:b/>
          <w:bCs/>
          <w:color w:val="000000"/>
        </w:rPr>
        <w:t>“Wanton” means with a conscious and intentional indifference to consequences and with knowledge that damage is likely to be done to persons or property.</w:t>
      </w:r>
    </w:p>
    <w:p w14:paraId="1CA0918C" w14:textId="02773AA7" w:rsidR="00D632F3" w:rsidRPr="003A0ABC" w:rsidRDefault="00D632F3" w:rsidP="00D632F3">
      <w:pPr>
        <w:pStyle w:val="SJITextItalic"/>
        <w:rPr>
          <w:strike/>
        </w:rPr>
      </w:pPr>
      <w:r w:rsidRPr="003A0ABC">
        <w:t>§ 316.003, Fla. Stat. Some of these terms have their own statutory definitions, which should be given if necessary.</w:t>
      </w:r>
    </w:p>
    <w:p w14:paraId="56FC7569" w14:textId="77777777" w:rsidR="00D632F3" w:rsidRPr="003A0ABC" w:rsidRDefault="00D632F3" w:rsidP="00D632F3">
      <w:pPr>
        <w:tabs>
          <w:tab w:val="left" w:pos="720"/>
        </w:tabs>
        <w:suppressAutoHyphens/>
        <w:rPr>
          <w:b/>
          <w:bCs/>
          <w:color w:val="000000"/>
        </w:rPr>
      </w:pPr>
      <w:r w:rsidRPr="003A0ABC">
        <w:rPr>
          <w:b/>
          <w:bCs/>
          <w:color w:val="000000"/>
        </w:rPr>
        <w:t xml:space="preserve">A “vehicle” is any device in, upon, or by which any person or property is, or may be, transported or drawn upon a </w:t>
      </w:r>
      <w:proofErr w:type="gramStart"/>
      <w:r w:rsidRPr="003A0ABC">
        <w:rPr>
          <w:b/>
          <w:bCs/>
          <w:color w:val="000000"/>
        </w:rPr>
        <w:t>highway[</w:t>
      </w:r>
      <w:proofErr w:type="gramEnd"/>
      <w:r w:rsidRPr="003A0ABC">
        <w:rPr>
          <w:b/>
          <w:bCs/>
          <w:color w:val="000000"/>
        </w:rPr>
        <w:t>, except personal delivery devices, mobile carriers, and devices used exclusively upon stationary rails or tracks].</w:t>
      </w:r>
    </w:p>
    <w:p w14:paraId="2E3116E9" w14:textId="3311C3D4" w:rsidR="00D632F3" w:rsidRPr="003A0ABC" w:rsidRDefault="00D632F3" w:rsidP="00D632F3">
      <w:pPr>
        <w:pStyle w:val="SJITextItalic"/>
      </w:pPr>
      <w:r w:rsidRPr="003A0ABC">
        <w:t>§ 316.192(3)(c)2, Fla. Stat.</w:t>
      </w:r>
    </w:p>
    <w:p w14:paraId="2C48B359" w14:textId="77777777" w:rsidR="00D632F3" w:rsidRPr="00E821F6" w:rsidRDefault="00D632F3" w:rsidP="00D632F3">
      <w:pPr>
        <w:rPr>
          <w:b/>
          <w:bCs/>
        </w:rPr>
      </w:pPr>
      <w:r w:rsidRPr="00E821F6">
        <w:rPr>
          <w:b/>
          <w:bCs/>
        </w:rPr>
        <w:t>“Serious bodily injury” means an injury to another person which consists of a physical condition that creates a substantial risk of death, serious personal disfigurement, or protracted loss or impairment of the function of any bodily member or organ.</w:t>
      </w:r>
    </w:p>
    <w:p w14:paraId="557F3E51" w14:textId="68D27661" w:rsidR="00D632F3" w:rsidRPr="003A0ABC" w:rsidRDefault="00D632F3" w:rsidP="00D632F3">
      <w:pPr>
        <w:pStyle w:val="SJITextItalic"/>
        <w:rPr>
          <w:b/>
        </w:rPr>
      </w:pPr>
      <w:r w:rsidRPr="003A0ABC">
        <w:t>§ 316.003, Fla. Stat. Some of these terms have their own statutory definitions, which should be given if necessary.</w:t>
      </w:r>
    </w:p>
    <w:p w14:paraId="0D869F24" w14:textId="77777777" w:rsidR="00D632F3" w:rsidRPr="003A0ABC" w:rsidRDefault="00D632F3" w:rsidP="00D632F3">
      <w:pPr>
        <w:tabs>
          <w:tab w:val="left" w:pos="720"/>
        </w:tabs>
        <w:suppressAutoHyphens/>
        <w:spacing w:after="240"/>
        <w:rPr>
          <w:b/>
        </w:rPr>
      </w:pPr>
      <w:r w:rsidRPr="003A0ABC">
        <w:rPr>
          <w:b/>
          <w:iCs/>
          <w:color w:val="000000"/>
        </w:rPr>
        <w:t>A “motor vehicle” is a</w:t>
      </w:r>
      <w:r w:rsidRPr="003A0ABC">
        <w:rPr>
          <w:b/>
        </w:rPr>
        <w:t xml:space="preserve"> self-propelled vehicle not operated upon rails or guideway[, but not including any bicycle, electric bicycle, motorized scooter, electric personal assistive mobility device, mobile carrier, personal delivery device, swamp buggy, or moped]. </w:t>
      </w:r>
    </w:p>
    <w:p w14:paraId="422ECA4A" w14:textId="77777777" w:rsidR="00D632F3" w:rsidRPr="003A0ABC" w:rsidRDefault="00D632F3" w:rsidP="00D632F3">
      <w:pPr>
        <w:pStyle w:val="SJIComments"/>
      </w:pPr>
      <w:r w:rsidRPr="003A0ABC">
        <w:lastRenderedPageBreak/>
        <w:t>Lesser Included Offenses</w:t>
      </w:r>
    </w:p>
    <w:p w14:paraId="1813458A" w14:textId="77777777" w:rsidR="00D632F3" w:rsidRPr="003A0ABC" w:rsidRDefault="00D632F3" w:rsidP="00D632F3">
      <w:pPr>
        <w:pStyle w:val="Heading4"/>
      </w:pPr>
      <w:bookmarkStart w:id="3" w:name="_Toc109650885"/>
      <w:r w:rsidRPr="003A0ABC">
        <w:t>RECKLESS DRIVING CAUSING SERIOUS BODILY INJURY —</w:t>
      </w:r>
      <w:r>
        <w:t xml:space="preserve"> </w:t>
      </w:r>
      <w:r w:rsidRPr="003A0ABC">
        <w:t>316.192(1); 316.192(3</w:t>
      </w:r>
      <w:r w:rsidRPr="003A0ABC">
        <w:rPr>
          <w:caps w:val="0"/>
        </w:rPr>
        <w:t>)(a)(b)(c)</w:t>
      </w:r>
      <w:r w:rsidRPr="003A0ABC">
        <w:t>2</w:t>
      </w:r>
      <w:bookmarkEnd w:id="3"/>
    </w:p>
    <w:tbl>
      <w:tblPr>
        <w:tblStyle w:val="TableGrid1"/>
        <w:tblW w:w="5000" w:type="pct"/>
        <w:tblLook w:val="0020" w:firstRow="1" w:lastRow="0" w:firstColumn="0" w:lastColumn="0" w:noHBand="0" w:noVBand="0"/>
      </w:tblPr>
      <w:tblGrid>
        <w:gridCol w:w="2660"/>
        <w:gridCol w:w="2286"/>
        <w:gridCol w:w="2996"/>
        <w:gridCol w:w="1408"/>
      </w:tblGrid>
      <w:tr w:rsidR="00D632F3" w:rsidRPr="003A0ABC" w14:paraId="446F66D1" w14:textId="77777777" w:rsidTr="008D2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2" w:type="pct"/>
          </w:tcPr>
          <w:p w14:paraId="365F6BA4" w14:textId="77777777" w:rsidR="00D632F3" w:rsidRPr="003A0ABC" w:rsidRDefault="00D632F3" w:rsidP="008D2587">
            <w:pPr>
              <w:pStyle w:val="SJITableText"/>
            </w:pPr>
            <w:r w:rsidRPr="003A0ABC">
              <w:t>CATEGORY ONE</w:t>
            </w:r>
          </w:p>
        </w:tc>
        <w:tc>
          <w:tcPr>
            <w:tcW w:w="1222" w:type="pct"/>
          </w:tcPr>
          <w:p w14:paraId="05B14860" w14:textId="77777777" w:rsidR="00D632F3" w:rsidRPr="003A0ABC" w:rsidRDefault="00D632F3" w:rsidP="008D2587">
            <w:pPr>
              <w:pStyle w:val="SJITableText"/>
            </w:pPr>
            <w:r w:rsidRPr="003A0ABC">
              <w:t>CATEGORY TWO</w:t>
            </w:r>
          </w:p>
        </w:tc>
        <w:tc>
          <w:tcPr>
            <w:tcW w:w="1602" w:type="pct"/>
          </w:tcPr>
          <w:p w14:paraId="7D323D86" w14:textId="77777777" w:rsidR="00D632F3" w:rsidRPr="003A0ABC" w:rsidRDefault="00D632F3" w:rsidP="008D2587">
            <w:pPr>
              <w:pStyle w:val="SJITableText"/>
            </w:pPr>
            <w:r w:rsidRPr="003A0ABC">
              <w:t>FLA. STAT.</w:t>
            </w:r>
          </w:p>
        </w:tc>
        <w:tc>
          <w:tcPr>
            <w:tcW w:w="753" w:type="pct"/>
          </w:tcPr>
          <w:p w14:paraId="0B6F35CB" w14:textId="77777777" w:rsidR="00D632F3" w:rsidRPr="003A0ABC" w:rsidRDefault="00D632F3" w:rsidP="008D2587">
            <w:pPr>
              <w:pStyle w:val="SJITableText"/>
            </w:pPr>
            <w:r w:rsidRPr="003A0ABC">
              <w:t>INS. NO.</w:t>
            </w:r>
          </w:p>
        </w:tc>
      </w:tr>
      <w:tr w:rsidR="00D632F3" w:rsidRPr="003A0ABC" w14:paraId="47C021BA" w14:textId="77777777" w:rsidTr="008D2587">
        <w:tc>
          <w:tcPr>
            <w:tcW w:w="1422" w:type="pct"/>
          </w:tcPr>
          <w:p w14:paraId="00C83101" w14:textId="77777777" w:rsidR="00D632F3" w:rsidRPr="003A0ABC" w:rsidRDefault="00D632F3" w:rsidP="008D2587">
            <w:pPr>
              <w:pStyle w:val="SJITableText"/>
            </w:pPr>
            <w:r w:rsidRPr="003A0ABC">
              <w:t>Reckless Driving causing injury</w:t>
            </w:r>
          </w:p>
        </w:tc>
        <w:tc>
          <w:tcPr>
            <w:tcW w:w="1222" w:type="pct"/>
          </w:tcPr>
          <w:p w14:paraId="1B0C9502" w14:textId="77777777" w:rsidR="00D632F3" w:rsidRPr="003A0ABC" w:rsidRDefault="00D632F3" w:rsidP="008D2587">
            <w:pPr>
              <w:pStyle w:val="SJITableText"/>
            </w:pPr>
          </w:p>
        </w:tc>
        <w:tc>
          <w:tcPr>
            <w:tcW w:w="1602" w:type="pct"/>
          </w:tcPr>
          <w:p w14:paraId="4CBD368F" w14:textId="77777777" w:rsidR="00D632F3" w:rsidRPr="003A0ABC" w:rsidRDefault="00D632F3" w:rsidP="008D2587">
            <w:pPr>
              <w:pStyle w:val="SJITableText"/>
            </w:pPr>
            <w:r w:rsidRPr="003A0ABC">
              <w:t>316.192(3)(a)(b)(c)1</w:t>
            </w:r>
          </w:p>
        </w:tc>
        <w:tc>
          <w:tcPr>
            <w:tcW w:w="753" w:type="pct"/>
          </w:tcPr>
          <w:p w14:paraId="11E2E036" w14:textId="77777777" w:rsidR="00D632F3" w:rsidRPr="003A0ABC" w:rsidRDefault="00D632F3" w:rsidP="008D2587">
            <w:pPr>
              <w:pStyle w:val="SJITableText"/>
            </w:pPr>
            <w:r w:rsidRPr="003A0ABC">
              <w:t>28.5</w:t>
            </w:r>
          </w:p>
        </w:tc>
      </w:tr>
      <w:tr w:rsidR="00D632F3" w:rsidRPr="003A0ABC" w14:paraId="724ACEEA" w14:textId="77777777" w:rsidTr="008D2587">
        <w:tc>
          <w:tcPr>
            <w:tcW w:w="1422" w:type="pct"/>
          </w:tcPr>
          <w:p w14:paraId="30DAB98F" w14:textId="77777777" w:rsidR="00D632F3" w:rsidRPr="003A0ABC" w:rsidRDefault="00D632F3" w:rsidP="008D2587">
            <w:pPr>
              <w:pStyle w:val="SJITableText"/>
            </w:pPr>
            <w:r w:rsidRPr="003A0ABC">
              <w:t>Reckless driving</w:t>
            </w:r>
          </w:p>
        </w:tc>
        <w:tc>
          <w:tcPr>
            <w:tcW w:w="1222" w:type="pct"/>
          </w:tcPr>
          <w:p w14:paraId="520D6662" w14:textId="77777777" w:rsidR="00D632F3" w:rsidRPr="003A0ABC" w:rsidRDefault="00D632F3" w:rsidP="008D2587">
            <w:pPr>
              <w:pStyle w:val="SJITableText"/>
            </w:pPr>
          </w:p>
        </w:tc>
        <w:tc>
          <w:tcPr>
            <w:tcW w:w="1602" w:type="pct"/>
          </w:tcPr>
          <w:p w14:paraId="671DA9B9" w14:textId="77777777" w:rsidR="00D632F3" w:rsidRPr="003A0ABC" w:rsidRDefault="00D632F3" w:rsidP="008D2587">
            <w:pPr>
              <w:pStyle w:val="SJITableText"/>
            </w:pPr>
            <w:r w:rsidRPr="003A0ABC">
              <w:t>316.192(1)(a)</w:t>
            </w:r>
          </w:p>
        </w:tc>
        <w:tc>
          <w:tcPr>
            <w:tcW w:w="753" w:type="pct"/>
          </w:tcPr>
          <w:p w14:paraId="7804FC2A" w14:textId="77777777" w:rsidR="00D632F3" w:rsidRPr="003A0ABC" w:rsidRDefault="00D632F3" w:rsidP="008D2587">
            <w:pPr>
              <w:pStyle w:val="SJITableText"/>
            </w:pPr>
            <w:r w:rsidRPr="003A0ABC">
              <w:t>28.5</w:t>
            </w:r>
          </w:p>
        </w:tc>
      </w:tr>
      <w:tr w:rsidR="00D632F3" w:rsidRPr="003A0ABC" w14:paraId="5777717C" w14:textId="77777777" w:rsidTr="008D2587">
        <w:tc>
          <w:tcPr>
            <w:tcW w:w="1422" w:type="pct"/>
          </w:tcPr>
          <w:p w14:paraId="3AF0EA5C" w14:textId="77777777" w:rsidR="00D632F3" w:rsidRPr="003A0ABC" w:rsidRDefault="00D632F3" w:rsidP="008D2587">
            <w:pPr>
              <w:pStyle w:val="SJITableText"/>
            </w:pPr>
          </w:p>
        </w:tc>
        <w:tc>
          <w:tcPr>
            <w:tcW w:w="1222" w:type="pct"/>
          </w:tcPr>
          <w:p w14:paraId="475B8EEF" w14:textId="77777777" w:rsidR="00D632F3" w:rsidRPr="003A0ABC" w:rsidRDefault="00D632F3" w:rsidP="008D2587">
            <w:pPr>
              <w:pStyle w:val="SJITableText"/>
            </w:pPr>
            <w:r w:rsidRPr="003A0ABC">
              <w:t>Reckless driving causing property damage</w:t>
            </w:r>
          </w:p>
        </w:tc>
        <w:tc>
          <w:tcPr>
            <w:tcW w:w="1602" w:type="pct"/>
          </w:tcPr>
          <w:p w14:paraId="1E87338E" w14:textId="77777777" w:rsidR="00D632F3" w:rsidRPr="003A0ABC" w:rsidRDefault="00D632F3" w:rsidP="008D2587">
            <w:pPr>
              <w:pStyle w:val="SJITableText"/>
            </w:pPr>
            <w:r w:rsidRPr="003A0ABC">
              <w:t>316.192(3)(a)(b)(c)1</w:t>
            </w:r>
          </w:p>
        </w:tc>
        <w:tc>
          <w:tcPr>
            <w:tcW w:w="753" w:type="pct"/>
          </w:tcPr>
          <w:p w14:paraId="43D18210" w14:textId="77777777" w:rsidR="00D632F3" w:rsidRPr="003A0ABC" w:rsidRDefault="00D632F3" w:rsidP="008D2587">
            <w:pPr>
              <w:pStyle w:val="SJITableText"/>
            </w:pPr>
            <w:r w:rsidRPr="003A0ABC">
              <w:t>28.5</w:t>
            </w:r>
          </w:p>
        </w:tc>
      </w:tr>
    </w:tbl>
    <w:p w14:paraId="4A1145EA" w14:textId="7CC747C8" w:rsidR="00D632F3" w:rsidRPr="008321E1" w:rsidRDefault="008321E1" w:rsidP="00B96ED5">
      <w:pPr>
        <w:pStyle w:val="SJIComments"/>
      </w:pPr>
      <w:r w:rsidRPr="008321E1">
        <w:t>Com</w:t>
      </w:r>
      <w:r w:rsidR="00D632F3" w:rsidRPr="008321E1">
        <w:t>ment</w:t>
      </w:r>
    </w:p>
    <w:p w14:paraId="78B51DD0" w14:textId="7015569B" w:rsidR="009435D1" w:rsidRDefault="00D632F3" w:rsidP="00B96ED5">
      <w:r w:rsidRPr="003A0ABC">
        <w:rPr>
          <w:color w:val="000000"/>
        </w:rPr>
        <w:t xml:space="preserve">This instruction was adopted in 1981 and amended in 2013 [131 So. 3d 692], 2019 [262 So. </w:t>
      </w:r>
      <w:r w:rsidRPr="008321E1">
        <w:rPr>
          <w:color w:val="000000"/>
        </w:rPr>
        <w:t>3d 59]</w:t>
      </w:r>
      <w:r w:rsidR="003D591D" w:rsidRPr="008321E1">
        <w:rPr>
          <w:color w:val="000000"/>
        </w:rPr>
        <w:t>,</w:t>
      </w:r>
      <w:r w:rsidRPr="008321E1">
        <w:rPr>
          <w:color w:val="000000"/>
        </w:rPr>
        <w:t xml:space="preserve"> on October 2, 2020</w:t>
      </w:r>
      <w:r w:rsidR="003D591D" w:rsidRPr="008321E1">
        <w:rPr>
          <w:color w:val="000000"/>
        </w:rPr>
        <w:t xml:space="preserve">, and on </w:t>
      </w:r>
      <w:r w:rsidR="008321E1" w:rsidRPr="008321E1">
        <w:rPr>
          <w:color w:val="000000"/>
        </w:rPr>
        <w:t>April 25, 2023.</w:t>
      </w:r>
    </w:p>
    <w:sectPr w:rsidR="00943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61D99"/>
    <w:multiLevelType w:val="hybridMultilevel"/>
    <w:tmpl w:val="FFFFFFFF"/>
    <w:lvl w:ilvl="0" w:tplc="C5B6639A">
      <w:start w:val="1"/>
      <w:numFmt w:val="decimal"/>
      <w:pStyle w:val="SJINumberedParagraph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8156103"/>
    <w:multiLevelType w:val="multilevel"/>
    <w:tmpl w:val="FFFFFFFF"/>
    <w:styleLink w:val="NumberandSubs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%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60990A40"/>
    <w:multiLevelType w:val="hybridMultilevel"/>
    <w:tmpl w:val="FFFFFFFF"/>
    <w:lvl w:ilvl="0" w:tplc="EDEADB66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423185838">
    <w:abstractNumId w:val="1"/>
  </w:num>
  <w:num w:numId="2" w16cid:durableId="1936595126">
    <w:abstractNumId w:val="2"/>
  </w:num>
  <w:num w:numId="3" w16cid:durableId="1840777398">
    <w:abstractNumId w:val="0"/>
  </w:num>
  <w:num w:numId="4" w16cid:durableId="1639915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F3"/>
    <w:rsid w:val="001944BB"/>
    <w:rsid w:val="0022051E"/>
    <w:rsid w:val="00276059"/>
    <w:rsid w:val="003A0ABC"/>
    <w:rsid w:val="003A0F2E"/>
    <w:rsid w:val="003D0049"/>
    <w:rsid w:val="003D591D"/>
    <w:rsid w:val="003E05DE"/>
    <w:rsid w:val="00653327"/>
    <w:rsid w:val="007D1EBA"/>
    <w:rsid w:val="008321E1"/>
    <w:rsid w:val="008D2587"/>
    <w:rsid w:val="009435D1"/>
    <w:rsid w:val="00A623B7"/>
    <w:rsid w:val="00B66A45"/>
    <w:rsid w:val="00B96ED5"/>
    <w:rsid w:val="00C552F6"/>
    <w:rsid w:val="00D632F3"/>
    <w:rsid w:val="00D67700"/>
    <w:rsid w:val="00E8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2C8CC"/>
  <w14:defaultImageDpi w14:val="0"/>
  <w15:docId w15:val="{AB87699D-A2AB-448F-BC0B-E9BE639E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2F3"/>
    <w:pPr>
      <w:spacing w:after="220"/>
      <w:ind w:firstLine="720"/>
    </w:pPr>
    <w:rPr>
      <w:rFonts w:ascii="Bookman Old Style" w:hAnsi="Bookman Old Style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2F3"/>
    <w:pPr>
      <w:keepNext/>
      <w:keepLines/>
      <w:spacing w:after="280" w:line="240" w:lineRule="auto"/>
      <w:jc w:val="center"/>
      <w:outlineLvl w:val="0"/>
    </w:pPr>
    <w:rPr>
      <w:rFonts w:eastAsiaTheme="majorEastAsia" w:cs="Times New Roma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32F3"/>
    <w:pPr>
      <w:ind w:firstLine="0"/>
      <w:jc w:val="center"/>
      <w:outlineLvl w:val="1"/>
    </w:pPr>
    <w:rPr>
      <w:rFonts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32F3"/>
    <w:pPr>
      <w:spacing w:after="0" w:line="240" w:lineRule="auto"/>
      <w:ind w:firstLine="0"/>
      <w:jc w:val="center"/>
      <w:outlineLvl w:val="2"/>
    </w:pPr>
    <w:rPr>
      <w:rFonts w:eastAsiaTheme="majorEastAsia" w:cs="Times New Roman"/>
      <w:b/>
      <w:bCs/>
      <w:iCs/>
      <w:caps/>
      <w:sz w:val="24"/>
      <w:szCs w:val="24"/>
    </w:rPr>
  </w:style>
  <w:style w:type="paragraph" w:styleId="Heading4">
    <w:name w:val="heading 4"/>
    <w:basedOn w:val="SJITableTitle"/>
    <w:next w:val="Normal"/>
    <w:link w:val="Heading4Char"/>
    <w:uiPriority w:val="9"/>
    <w:qFormat/>
    <w:rsid w:val="00D632F3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D632F3"/>
    <w:pPr>
      <w:spacing w:before="240" w:after="60" w:line="240" w:lineRule="auto"/>
      <w:ind w:left="1008" w:hanging="432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632F3"/>
    <w:pPr>
      <w:spacing w:before="240" w:after="60" w:line="240" w:lineRule="auto"/>
      <w:ind w:left="1152" w:hanging="432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632F3"/>
    <w:pPr>
      <w:spacing w:before="240" w:after="60" w:line="240" w:lineRule="auto"/>
      <w:ind w:left="1296" w:hanging="288"/>
      <w:outlineLvl w:val="6"/>
    </w:pPr>
    <w:rPr>
      <w:rFonts w:ascii="Times New Roman" w:hAnsi="Times New Roman"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D632F3"/>
    <w:pPr>
      <w:spacing w:before="240" w:after="60" w:line="240" w:lineRule="auto"/>
      <w:ind w:left="1440" w:hanging="432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D632F3"/>
    <w:pPr>
      <w:spacing w:before="240" w:after="60" w:line="240" w:lineRule="auto"/>
      <w:ind w:left="1584" w:hanging="144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32F3"/>
    <w:rPr>
      <w:rFonts w:ascii="Bookman Old Style" w:eastAsiaTheme="majorEastAsia" w:hAnsi="Bookman Old Style" w:cs="Times New Roman"/>
      <w:b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632F3"/>
    <w:rPr>
      <w:rFonts w:ascii="Bookman Old Style" w:hAnsi="Bookman Old Style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632F3"/>
    <w:rPr>
      <w:rFonts w:ascii="Bookman Old Style" w:eastAsiaTheme="majorEastAsia" w:hAnsi="Bookman Old Style" w:cs="Times New Roman"/>
      <w:b/>
      <w:bCs/>
      <w:iCs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632F3"/>
    <w:rPr>
      <w:rFonts w:ascii="Bookman Old Style" w:eastAsiaTheme="minorEastAsia" w:hAnsi="Bookman Old Style" w:cs="Times New Roman"/>
      <w:b/>
      <w:bCs/>
      <w:caps/>
      <w:shd w:val="clear" w:color="auto" w:fill="E7E6E6" w:themeFill="background2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D632F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D632F3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D632F3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D632F3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D632F3"/>
    <w:rPr>
      <w:rFonts w:ascii="Arial" w:hAnsi="Arial" w:cs="Arial"/>
    </w:rPr>
  </w:style>
  <w:style w:type="table" w:customStyle="1" w:styleId="WeeklyReport">
    <w:name w:val="Weekly Report"/>
    <w:basedOn w:val="GridTable3-Accent5"/>
    <w:uiPriority w:val="99"/>
    <w:rsid w:val="003E05DE"/>
    <w:pPr>
      <w:spacing w:before="100" w:beforeAutospacing="1" w:after="100" w:afterAutospacing="1"/>
    </w:pPr>
    <w:rPr>
      <w:rFonts w:ascii="Arial" w:hAnsi="Arial"/>
      <w:color w:val="404040" w:themeColor="text1" w:themeTint="BF"/>
      <w:sz w:val="20"/>
      <w:szCs w:val="20"/>
    </w:rPr>
    <w:tblPr>
      <w:tblBorders>
        <w:top w:val="single" w:sz="6" w:space="0" w:color="595959" w:themeColor="text1" w:themeTint="A6"/>
        <w:left w:val="single" w:sz="6" w:space="0" w:color="595959" w:themeColor="text1" w:themeTint="A6"/>
        <w:bottom w:val="single" w:sz="6" w:space="0" w:color="595959" w:themeColor="text1" w:themeTint="A6"/>
        <w:right w:val="single" w:sz="6" w:space="0" w:color="595959" w:themeColor="text1" w:themeTint="A6"/>
        <w:insideH w:val="single" w:sz="6" w:space="0" w:color="595959" w:themeColor="text1" w:themeTint="A6"/>
        <w:insideV w:val="single" w:sz="6" w:space="0" w:color="595959" w:themeColor="text1" w:themeTint="A6"/>
      </w:tblBorders>
      <w:tblCellMar>
        <w:top w:w="86" w:type="dxa"/>
        <w:left w:w="115" w:type="dxa"/>
        <w:bottom w:w="86" w:type="dxa"/>
        <w:right w:w="115" w:type="dxa"/>
      </w:tblCellMar>
    </w:tblPr>
    <w:tblStylePr w:type="firstRow">
      <w:rPr>
        <w:rFonts w:cs="Calibr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Calibr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Calibr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Calibr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shd w:val="clear" w:color="auto" w:fill="DEEAF6" w:themeFill="accent5" w:themeFillTint="33"/>
      </w:tcPr>
    </w:tblStylePr>
    <w:tblStylePr w:type="band1Horz">
      <w:rPr>
        <w:rFonts w:cs="Calibri"/>
      </w:rPr>
      <w:tblPr/>
      <w:tcPr>
        <w:shd w:val="clear" w:color="auto" w:fill="DEEAF6" w:themeFill="accent5" w:themeFillTint="33"/>
      </w:tcPr>
    </w:tblStylePr>
    <w:tblStylePr w:type="neCell">
      <w:rPr>
        <w:rFonts w:cs="Calibri"/>
      </w:rPr>
      <w:tblPr/>
      <w:tcPr>
        <w:tcBorders>
          <w:bottom w:val="single" w:sz="4" w:space="0" w:color="9CC2E5" w:themeColor="accent5" w:themeTint="99"/>
        </w:tcBorders>
      </w:tcPr>
    </w:tblStylePr>
    <w:tblStylePr w:type="nwCell">
      <w:rPr>
        <w:rFonts w:cs="Calibri"/>
      </w:rPr>
      <w:tblPr/>
      <w:tcPr>
        <w:tcBorders>
          <w:bottom w:val="single" w:sz="4" w:space="0" w:color="9CC2E5" w:themeColor="accent5" w:themeTint="99"/>
        </w:tcBorders>
      </w:tcPr>
    </w:tblStylePr>
    <w:tblStylePr w:type="seCell">
      <w:rPr>
        <w:rFonts w:cs="Calibri"/>
      </w:rPr>
      <w:tblPr/>
      <w:tcPr>
        <w:tcBorders>
          <w:top w:val="single" w:sz="4" w:space="0" w:color="9CC2E5" w:themeColor="accent5" w:themeTint="99"/>
        </w:tcBorders>
      </w:tcPr>
    </w:tblStylePr>
    <w:tblStylePr w:type="swCell">
      <w:rPr>
        <w:rFonts w:cs="Calibri"/>
      </w:rPr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05DE"/>
    <w:pPr>
      <w:spacing w:after="0" w:line="240" w:lineRule="auto"/>
    </w:pPr>
    <w:rPr>
      <w:rFonts w:cs="Calibri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rFonts w:cs="Calibr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Calibr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Calibr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Calibr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shd w:val="clear" w:color="auto" w:fill="DEEAF6" w:themeFill="accent5" w:themeFillTint="33"/>
      </w:tcPr>
    </w:tblStylePr>
    <w:tblStylePr w:type="band1Horz">
      <w:rPr>
        <w:rFonts w:cs="Calibri"/>
      </w:rPr>
      <w:tblPr/>
      <w:tcPr>
        <w:shd w:val="clear" w:color="auto" w:fill="DEEAF6" w:themeFill="accent5" w:themeFillTint="33"/>
      </w:tcPr>
    </w:tblStylePr>
    <w:tblStylePr w:type="neCell">
      <w:rPr>
        <w:rFonts w:cs="Calibri"/>
      </w:rPr>
      <w:tblPr/>
      <w:tcPr>
        <w:tcBorders>
          <w:bottom w:val="single" w:sz="4" w:space="0" w:color="9CC2E5" w:themeColor="accent5" w:themeTint="99"/>
        </w:tcBorders>
      </w:tcPr>
    </w:tblStylePr>
    <w:tblStylePr w:type="nwCell">
      <w:rPr>
        <w:rFonts w:cs="Calibri"/>
      </w:rPr>
      <w:tblPr/>
      <w:tcPr>
        <w:tcBorders>
          <w:bottom w:val="single" w:sz="4" w:space="0" w:color="9CC2E5" w:themeColor="accent5" w:themeTint="99"/>
        </w:tcBorders>
      </w:tcPr>
    </w:tblStylePr>
    <w:tblStylePr w:type="seCell">
      <w:rPr>
        <w:rFonts w:cs="Calibri"/>
      </w:rPr>
      <w:tblPr/>
      <w:tcPr>
        <w:tcBorders>
          <w:top w:val="single" w:sz="4" w:space="0" w:color="9CC2E5" w:themeColor="accent5" w:themeTint="99"/>
        </w:tcBorders>
      </w:tcPr>
    </w:tblStylePr>
    <w:tblStylePr w:type="swCell">
      <w:rPr>
        <w:rFonts w:cs="Calibri"/>
      </w:rPr>
      <w:tblPr/>
      <w:tcPr>
        <w:tcBorders>
          <w:top w:val="single" w:sz="4" w:space="0" w:color="9CC2E5" w:themeColor="accent5" w:themeTint="99"/>
        </w:tcBorders>
      </w:tcPr>
    </w:tblStylePr>
  </w:style>
  <w:style w:type="paragraph" w:customStyle="1" w:styleId="SJIText">
    <w:name w:val="SJI Text"/>
    <w:basedOn w:val="Normal"/>
    <w:next w:val="Normal"/>
    <w:qFormat/>
    <w:rsid w:val="00D632F3"/>
    <w:rPr>
      <w:rFonts w:cs="Times New Roman"/>
    </w:rPr>
  </w:style>
  <w:style w:type="paragraph" w:customStyle="1" w:styleId="SJIStatuteinTitle">
    <w:name w:val="SJI Statute in Title"/>
    <w:basedOn w:val="Normal"/>
    <w:qFormat/>
    <w:rsid w:val="00D632F3"/>
    <w:pPr>
      <w:spacing w:after="240" w:line="240" w:lineRule="auto"/>
      <w:ind w:firstLine="0"/>
      <w:jc w:val="center"/>
    </w:pPr>
    <w:rPr>
      <w:rFonts w:cs="Times New Roman"/>
      <w:sz w:val="24"/>
      <w:szCs w:val="24"/>
    </w:rPr>
  </w:style>
  <w:style w:type="paragraph" w:customStyle="1" w:styleId="SJITextItalic">
    <w:name w:val="SJI Text Italic"/>
    <w:basedOn w:val="Normal"/>
    <w:qFormat/>
    <w:locked/>
    <w:rsid w:val="00D632F3"/>
    <w:pPr>
      <w:tabs>
        <w:tab w:val="left" w:pos="720"/>
      </w:tabs>
      <w:suppressAutoHyphens/>
      <w:spacing w:after="0"/>
    </w:pPr>
    <w:rPr>
      <w:rFonts w:cs="Times New Roman"/>
      <w:i/>
      <w:iCs/>
      <w:szCs w:val="24"/>
    </w:rPr>
  </w:style>
  <w:style w:type="paragraph" w:customStyle="1" w:styleId="SJITableText">
    <w:name w:val="SJI Table Text"/>
    <w:basedOn w:val="Normal"/>
    <w:qFormat/>
    <w:rsid w:val="00D632F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cs="Times New Roman"/>
      <w:bCs/>
      <w:szCs w:val="20"/>
    </w:rPr>
  </w:style>
  <w:style w:type="paragraph" w:customStyle="1" w:styleId="SJIComments">
    <w:name w:val="SJI Comments"/>
    <w:basedOn w:val="Normal"/>
    <w:qFormat/>
    <w:rsid w:val="00D632F3"/>
    <w:pPr>
      <w:spacing w:before="220"/>
      <w:ind w:firstLine="0"/>
      <w:jc w:val="center"/>
    </w:pPr>
    <w:rPr>
      <w:rFonts w:cs="Courier New"/>
      <w:b/>
    </w:rPr>
  </w:style>
  <w:style w:type="paragraph" w:styleId="ListParagraph">
    <w:name w:val="List Paragraph"/>
    <w:basedOn w:val="Normal"/>
    <w:uiPriority w:val="34"/>
    <w:qFormat/>
    <w:rsid w:val="00D632F3"/>
    <w:pPr>
      <w:ind w:left="720"/>
    </w:pPr>
    <w:rPr>
      <w:rFonts w:cs="Times New Roman"/>
    </w:rPr>
  </w:style>
  <w:style w:type="table" w:customStyle="1" w:styleId="TableGrid1">
    <w:name w:val="Table Grid1"/>
    <w:basedOn w:val="TableNormal"/>
    <w:next w:val="TableGrid"/>
    <w:uiPriority w:val="99"/>
    <w:rsid w:val="00D632F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Bookman Old Style" w:hAnsi="Bookman Old Style" w:cs="Times New Roman"/>
        <w:b/>
        <w:sz w:val="22"/>
      </w:rPr>
    </w:tblStylePr>
  </w:style>
  <w:style w:type="table" w:styleId="TableGrid">
    <w:name w:val="Table Grid"/>
    <w:basedOn w:val="TableNormal"/>
    <w:uiPriority w:val="39"/>
    <w:rsid w:val="00D632F3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JIlist1">
    <w:name w:val="SJI list 1"/>
    <w:basedOn w:val="Normal"/>
    <w:qFormat/>
    <w:rsid w:val="00D632F3"/>
    <w:pPr>
      <w:widowControl w:val="0"/>
      <w:autoSpaceDE w:val="0"/>
      <w:autoSpaceDN w:val="0"/>
      <w:adjustRightInd w:val="0"/>
      <w:ind w:left="1296" w:hanging="576"/>
    </w:pPr>
    <w:rPr>
      <w:rFonts w:cs="Times New Roman"/>
    </w:rPr>
  </w:style>
  <w:style w:type="character" w:customStyle="1" w:styleId="SJIBold">
    <w:name w:val="SJI Bold"/>
    <w:uiPriority w:val="1"/>
    <w:qFormat/>
    <w:rsid w:val="00D632F3"/>
    <w:rPr>
      <w:b/>
    </w:rPr>
  </w:style>
  <w:style w:type="paragraph" w:customStyle="1" w:styleId="SJITableTitle">
    <w:name w:val="SJI Table Title"/>
    <w:basedOn w:val="Normal"/>
    <w:qFormat/>
    <w:rsid w:val="00D632F3"/>
    <w:pPr>
      <w:pBdr>
        <w:top w:val="single" w:sz="24" w:space="0" w:color="E7E6E6" w:themeColor="background2"/>
        <w:left w:val="single" w:sz="24" w:space="0" w:color="E7E6E6" w:themeColor="background2"/>
        <w:bottom w:val="single" w:sz="24" w:space="0" w:color="E7E6E6" w:themeColor="background2"/>
        <w:right w:val="single" w:sz="24" w:space="0" w:color="E7E6E6" w:themeColor="background2"/>
      </w:pBdr>
      <w:shd w:val="clear" w:color="auto" w:fill="E7E6E6" w:themeFill="background2"/>
      <w:spacing w:before="100" w:after="0" w:line="276" w:lineRule="auto"/>
      <w:ind w:firstLine="0"/>
      <w:jc w:val="center"/>
      <w:outlineLvl w:val="0"/>
    </w:pPr>
    <w:rPr>
      <w:rFonts w:eastAsiaTheme="minorEastAsia" w:cs="Times New Roman"/>
      <w:b/>
      <w:bCs/>
      <w:caps/>
    </w:rPr>
  </w:style>
  <w:style w:type="paragraph" w:customStyle="1" w:styleId="SJIInstructionlist1">
    <w:name w:val="SJI Instruction list 1"/>
    <w:basedOn w:val="Normal"/>
    <w:qFormat/>
    <w:rsid w:val="00D632F3"/>
    <w:pPr>
      <w:widowControl w:val="0"/>
      <w:autoSpaceDE w:val="0"/>
      <w:autoSpaceDN w:val="0"/>
      <w:adjustRightInd w:val="0"/>
      <w:spacing w:before="120" w:after="120"/>
      <w:ind w:left="864" w:hanging="864"/>
    </w:pPr>
    <w:rPr>
      <w:rFonts w:cs="Times New Roman"/>
      <w:szCs w:val="28"/>
    </w:rPr>
  </w:style>
  <w:style w:type="paragraph" w:customStyle="1" w:styleId="SJINumberedParagraph">
    <w:name w:val="SJI Numbered Paragraph"/>
    <w:basedOn w:val="ListParagraph"/>
    <w:qFormat/>
    <w:rsid w:val="00D632F3"/>
    <w:pPr>
      <w:numPr>
        <w:numId w:val="4"/>
      </w:numPr>
    </w:pPr>
  </w:style>
  <w:style w:type="paragraph" w:customStyle="1" w:styleId="SJITableNotation">
    <w:name w:val="SJI Table Notation"/>
    <w:basedOn w:val="SJITableText"/>
    <w:qFormat/>
    <w:rsid w:val="00D632F3"/>
    <w:pPr>
      <w:spacing w:before="120" w:after="240"/>
    </w:pPr>
  </w:style>
  <w:style w:type="character" w:customStyle="1" w:styleId="SJIUnderline">
    <w:name w:val="SJI Underline"/>
    <w:uiPriority w:val="1"/>
    <w:qFormat/>
    <w:rsid w:val="00D632F3"/>
    <w:rPr>
      <w:rFonts w:ascii="Times New Roman" w:hAnsi="Times New Roman"/>
      <w:sz w:val="28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32F3"/>
    <w:pPr>
      <w:spacing w:after="200" w:line="240" w:lineRule="auto"/>
    </w:pPr>
    <w:rPr>
      <w:rFonts w:cs="Times New Roman"/>
      <w:i/>
      <w:iCs/>
      <w:color w:val="44546A" w:themeColor="text2"/>
      <w:sz w:val="18"/>
      <w:szCs w:val="18"/>
    </w:rPr>
  </w:style>
  <w:style w:type="paragraph" w:styleId="Title">
    <w:name w:val="Title"/>
    <w:basedOn w:val="NoSpacing"/>
    <w:next w:val="Normal"/>
    <w:link w:val="TitleChar"/>
    <w:uiPriority w:val="10"/>
    <w:qFormat/>
    <w:rsid w:val="00D632F3"/>
    <w:pPr>
      <w:jc w:val="center"/>
    </w:pPr>
    <w:rPr>
      <w:rFonts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D632F3"/>
    <w:rPr>
      <w:rFonts w:ascii="Bookman Old Style" w:hAnsi="Bookman Old Style" w:cs="Times New Roman"/>
      <w:b/>
      <w:bCs/>
      <w:color w:val="000000"/>
      <w:sz w:val="28"/>
      <w:szCs w:val="28"/>
    </w:rPr>
  </w:style>
  <w:style w:type="paragraph" w:styleId="NoSpacing">
    <w:name w:val="No Spacing"/>
    <w:next w:val="Normal"/>
    <w:link w:val="NoSpacingChar"/>
    <w:uiPriority w:val="1"/>
    <w:qFormat/>
    <w:rsid w:val="00D632F3"/>
    <w:pPr>
      <w:spacing w:after="0" w:line="240" w:lineRule="auto"/>
    </w:pPr>
    <w:rPr>
      <w:rFonts w:ascii="Bookman Old Style" w:hAnsi="Bookman Old Style" w:cs="Calibri"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32F3"/>
    <w:pPr>
      <w:numPr>
        <w:ilvl w:val="1"/>
      </w:numPr>
      <w:spacing w:after="160"/>
      <w:ind w:firstLine="720"/>
    </w:pPr>
    <w:rPr>
      <w:rFonts w:asciiTheme="minorHAnsi" w:eastAsiaTheme="minorEastAsia" w:hAnsiTheme="minorHAnsi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D632F3"/>
    <w:rPr>
      <w:rFonts w:eastAsiaTheme="minorEastAsia" w:cs="Times New Roman"/>
      <w:color w:val="5A5A5A" w:themeColor="text1" w:themeTint="A5"/>
      <w:spacing w:val="1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632F3"/>
    <w:rPr>
      <w:rFonts w:ascii="Bookman Old Style" w:hAnsi="Bookman Old Style" w:cs="Times New Roman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D632F3"/>
    <w:pPr>
      <w:spacing w:before="200" w:after="160"/>
      <w:ind w:left="864" w:right="864"/>
      <w:jc w:val="center"/>
    </w:pPr>
    <w:rPr>
      <w:rFonts w:cs="Times New Roma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locked/>
    <w:rsid w:val="00D632F3"/>
    <w:rPr>
      <w:rFonts w:ascii="Bookman Old Style" w:hAnsi="Bookman Old Style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32F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="Times New Roman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D632F3"/>
    <w:rPr>
      <w:rFonts w:ascii="Bookman Old Style" w:hAnsi="Bookman Old Style" w:cs="Times New Roman"/>
      <w:i/>
      <w:iCs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32F3"/>
    <w:pPr>
      <w:outlineLvl w:val="9"/>
    </w:pPr>
    <w:rPr>
      <w:b w:val="0"/>
      <w:caps w:val="0"/>
      <w:sz w:val="32"/>
    </w:rPr>
  </w:style>
  <w:style w:type="numbering" w:customStyle="1" w:styleId="NumberandSubs">
    <w:name w:val="Number and Sub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Susan D</dc:creator>
  <cp:keywords/>
  <dc:description/>
  <cp:lastModifiedBy>Ray, Susan D</cp:lastModifiedBy>
  <cp:revision>3</cp:revision>
  <dcterms:created xsi:type="dcterms:W3CDTF">2023-04-17T18:21:00Z</dcterms:created>
  <dcterms:modified xsi:type="dcterms:W3CDTF">2023-04-26T15:16:00Z</dcterms:modified>
</cp:coreProperties>
</file>